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AB" w:rsidRPr="00241C78" w:rsidRDefault="00567EAB" w:rsidP="00575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567EAB" w:rsidRPr="00241C78" w:rsidRDefault="00567EAB" w:rsidP="003E5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C7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7EAB" w:rsidRPr="00241C78" w:rsidRDefault="00567EAB" w:rsidP="00567E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EAB" w:rsidRPr="00241C78" w:rsidRDefault="00855902" w:rsidP="00567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A078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567EAB" w:rsidRPr="00241C78">
        <w:rPr>
          <w:rFonts w:ascii="Times New Roman" w:hAnsi="Times New Roman" w:cs="Times New Roman"/>
          <w:sz w:val="26"/>
          <w:szCs w:val="26"/>
        </w:rPr>
        <w:t>.20</w:t>
      </w:r>
      <w:r w:rsidR="00A078CF">
        <w:rPr>
          <w:rFonts w:ascii="Times New Roman" w:hAnsi="Times New Roman" w:cs="Times New Roman"/>
          <w:sz w:val="26"/>
          <w:szCs w:val="26"/>
        </w:rPr>
        <w:t>20</w:t>
      </w:r>
      <w:r w:rsidR="00567EAB" w:rsidRPr="00241C78">
        <w:rPr>
          <w:rFonts w:ascii="Times New Roman" w:hAnsi="Times New Roman" w:cs="Times New Roman"/>
          <w:sz w:val="26"/>
          <w:szCs w:val="26"/>
        </w:rPr>
        <w:t xml:space="preserve">                                     село Екатериновка                                               № </w:t>
      </w:r>
      <w:r w:rsidR="00684730">
        <w:rPr>
          <w:rFonts w:ascii="Times New Roman" w:hAnsi="Times New Roman" w:cs="Times New Roman"/>
          <w:sz w:val="26"/>
          <w:szCs w:val="26"/>
        </w:rPr>
        <w:t>33</w:t>
      </w:r>
      <w:r w:rsidR="00567EAB" w:rsidRPr="00241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7AE" w:rsidRDefault="00A078CF" w:rsidP="008F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в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ую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ую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Екатериновского 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Партизанского 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района </w:t>
      </w:r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Приморского края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"Строительство, ремонт и укрепление материально-тех</w:t>
      </w:r>
      <w:r w:rsidR="009A0E35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ической базы учреждени</w:t>
      </w:r>
      <w:r w:rsidR="00354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культуры </w:t>
      </w:r>
      <w:proofErr w:type="gramStart"/>
      <w:r w:rsidR="00567EAB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Екатериновского  сельского</w:t>
      </w:r>
      <w:proofErr w:type="gramEnd"/>
      <w:r w:rsidR="008F31E4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 </w:t>
      </w:r>
    </w:p>
    <w:p w:rsidR="008F31E4" w:rsidRPr="00241C78" w:rsidRDefault="008F31E4" w:rsidP="008F3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</w:t>
      </w:r>
      <w:r w:rsidR="009A0E35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777FE8"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годы"</w:t>
      </w:r>
    </w:p>
    <w:p w:rsidR="008F31E4" w:rsidRPr="00241C78" w:rsidRDefault="00B74AAD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179 Бюджетного кодекса РФ, Федеральным законом от 06.10.2003 г. №131-ФЗ «Об общих принципах организации местного самоуправления в Российской Федерации», </w:t>
      </w:r>
      <w:r w:rsidR="00B2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855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2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Приморского края «Об утверждении государственн</w:t>
      </w:r>
      <w:r w:rsidR="00333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программы Приморского края «</w:t>
      </w:r>
      <w:r w:rsidR="00B2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Приморского края на 2020-2027 годы»</w:t>
      </w:r>
      <w:r w:rsidR="00684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27.12.2019</w:t>
      </w:r>
      <w:r w:rsidR="006847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936-па</w:t>
      </w:r>
      <w:r w:rsidR="00B23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567EA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567EAB" w:rsidRPr="00241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Партизанского муниципального района Приморского края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567EA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8F31E4" w:rsidRPr="00241C78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ПОСТАНОВЛЯЕТ: </w:t>
      </w:r>
    </w:p>
    <w:p w:rsidR="008F31E4" w:rsidRDefault="00A078CF" w:rsidP="00333E4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</w:t>
      </w:r>
      <w:r w:rsidR="008F31E4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целевую программу «Строительство, ремонт и укрепление материально-технической базы учреждений культуры </w:t>
      </w:r>
      <w:r w:rsidR="003E500A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20</w:t>
      </w:r>
      <w:r w:rsidR="009A0E35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777FE8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F31E4" w:rsidRPr="00A07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годы».</w:t>
      </w:r>
    </w:p>
    <w:p w:rsidR="00333E4F" w:rsidRPr="00A078CF" w:rsidRDefault="00333E4F" w:rsidP="00333E4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3E4F" w:rsidRDefault="00A078CF" w:rsidP="00333E4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программу в новой редакции</w:t>
      </w:r>
      <w:r w:rsidR="00F426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(прилагается).</w:t>
      </w:r>
    </w:p>
    <w:p w:rsidR="00333E4F" w:rsidRPr="00333E4F" w:rsidRDefault="00333E4F" w:rsidP="00333E4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3E4F" w:rsidRPr="00333E4F" w:rsidRDefault="003E500A" w:rsidP="00333E4F">
      <w:pPr>
        <w:pStyle w:val="a9"/>
        <w:numPr>
          <w:ilvl w:val="0"/>
          <w:numId w:val="2"/>
        </w:num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E4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обнародованию в газете Екатериновский </w:t>
      </w:r>
    </w:p>
    <w:p w:rsidR="00333E4F" w:rsidRDefault="00333E4F" w:rsidP="00333E4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500A" w:rsidRPr="00241C78">
        <w:rPr>
          <w:rFonts w:ascii="Times New Roman" w:hAnsi="Times New Roman" w:cs="Times New Roman"/>
          <w:sz w:val="26"/>
          <w:szCs w:val="26"/>
        </w:rPr>
        <w:t>вестник и на официальном сайте Екатериновского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E4F" w:rsidRDefault="00333E4F" w:rsidP="00333E4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E4F" w:rsidRPr="00333E4F" w:rsidRDefault="00333E4F" w:rsidP="00333E4F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33E4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3E500A" w:rsidRPr="00333E4F" w:rsidRDefault="003E500A" w:rsidP="00333E4F">
      <w:pPr>
        <w:pStyle w:val="a9"/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3E4F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33E4F" w:rsidRPr="00333E4F" w:rsidRDefault="00333E4F" w:rsidP="00333E4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500A" w:rsidRPr="00241C78" w:rsidRDefault="003E500A" w:rsidP="003E50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32E" w:rsidRPr="00241C78" w:rsidRDefault="00AC332E" w:rsidP="003E500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C27AE" w:rsidRPr="00DC27AE" w:rsidRDefault="00DC27AE" w:rsidP="00DC2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7A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C27AE" w:rsidRPr="00DC27AE" w:rsidRDefault="00DC27AE" w:rsidP="00DC2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7AE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DC27AE" w:rsidRPr="00DC27AE" w:rsidRDefault="00DC27AE" w:rsidP="00DC27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7AE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C27AE">
        <w:rPr>
          <w:rFonts w:ascii="Times New Roman" w:hAnsi="Times New Roman" w:cs="Times New Roman"/>
          <w:sz w:val="26"/>
          <w:szCs w:val="26"/>
        </w:rPr>
        <w:t xml:space="preserve">       О.Ф. Смыченко</w:t>
      </w:r>
    </w:p>
    <w:p w:rsidR="008F31E4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4730" w:rsidRDefault="00684730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730" w:rsidRPr="00241C78" w:rsidRDefault="00684730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893BC5" w:rsidRDefault="008F31E4" w:rsidP="00333E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 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8F31E4" w:rsidRPr="00893BC5" w:rsidRDefault="008F31E4" w:rsidP="00333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8F31E4" w:rsidRPr="00893BC5" w:rsidRDefault="003E500A" w:rsidP="00AC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</w:t>
      </w:r>
      <w:r w:rsidR="008F31E4" w:rsidRPr="00893BC5">
        <w:rPr>
          <w:rFonts w:ascii="Times New Roman" w:eastAsia="Times New Roman" w:hAnsi="Times New Roman" w:cs="Times New Roman"/>
          <w:color w:val="000000"/>
          <w:lang w:eastAsia="ru-RU"/>
        </w:rPr>
        <w:t>  сельского</w:t>
      </w:r>
      <w:proofErr w:type="gramEnd"/>
      <w:r w:rsidR="008F31E4"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</w:t>
      </w:r>
    </w:p>
    <w:p w:rsidR="008F31E4" w:rsidRPr="00893BC5" w:rsidRDefault="008F31E4" w:rsidP="00AC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 № </w:t>
      </w:r>
      <w:r w:rsidR="00684730">
        <w:rPr>
          <w:rFonts w:ascii="Times New Roman" w:eastAsia="Times New Roman" w:hAnsi="Times New Roman" w:cs="Times New Roman"/>
          <w:color w:val="000000"/>
          <w:lang w:eastAsia="ru-RU"/>
        </w:rPr>
        <w:t>33</w:t>
      </w:r>
      <w:r w:rsidR="00575F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55902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3E500A" w:rsidRPr="00893BC5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85590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E500A" w:rsidRPr="00893BC5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B23404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93B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E500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F31E4" w:rsidRPr="00F10536" w:rsidRDefault="008F31E4" w:rsidP="006847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</w:p>
    <w:p w:rsidR="00893BC5" w:rsidRPr="00F10536" w:rsidRDefault="008F31E4" w:rsidP="00893B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  ЦЕЛЕВОЙ</w:t>
      </w:r>
      <w:proofErr w:type="gramEnd"/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 ПРОГРАММЫ</w:t>
      </w:r>
    </w:p>
    <w:p w:rsidR="00893BC5" w:rsidRPr="00F10536" w:rsidRDefault="00F642EE" w:rsidP="0089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«СТРОИТЕЛЬСТВО,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РЕМОНТ И УКРЕПЛЕНИЕ МАТЕРИАЛЬНО-</w:t>
      </w:r>
      <w:proofErr w:type="gramStart"/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ТЕХНИЧЕСКОЙ  БАЗЫ</w:t>
      </w:r>
      <w:proofErr w:type="gramEnd"/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</w:t>
      </w:r>
      <w:r w:rsidR="007E6A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КУЛЬТУРЫ </w:t>
      </w:r>
      <w:r w:rsidR="003E500A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ЕКАТЕРИНОВСКОГО</w:t>
      </w:r>
      <w:r w:rsidR="008F31E4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 СЕЛЬСКОГО ПОСЕЛЕНИЯ  </w:t>
      </w:r>
    </w:p>
    <w:p w:rsidR="008F31E4" w:rsidRPr="00F10536" w:rsidRDefault="008F31E4" w:rsidP="0089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F642EE"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</w:t>
      </w:r>
      <w:r w:rsidR="00B234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</w:t>
      </w:r>
      <w:r w:rsidRPr="00F10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</w:t>
      </w:r>
    </w:p>
    <w:tbl>
      <w:tblPr>
        <w:tblStyle w:val="a6"/>
        <w:tblW w:w="9776" w:type="dxa"/>
        <w:tblInd w:w="-289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F465D4" w:rsidRPr="00241C78" w:rsidTr="007929B5">
        <w:tc>
          <w:tcPr>
            <w:tcW w:w="3256" w:type="dxa"/>
          </w:tcPr>
          <w:p w:rsidR="00F465D4" w:rsidRPr="00241C78" w:rsidRDefault="00F465D4" w:rsidP="008F31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  <w:gridSpan w:val="2"/>
          </w:tcPr>
          <w:p w:rsidR="00F465D4" w:rsidRPr="00241C78" w:rsidRDefault="00F465D4" w:rsidP="00B234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«Строительство, ремонт и укрепление материально-технической базы учреждени</w:t>
            </w:r>
            <w:r w:rsidR="00354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Екатериновского сельского поселения на 2020 – 20</w:t>
            </w:r>
            <w:r w:rsidR="00B23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Екатериновского сельского поселения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Цели: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оптимальных условий для удовлетворения социальных и культурно-досуговых потребностей населения.</w:t>
            </w:r>
          </w:p>
          <w:p w:rsidR="00F465D4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B23404" w:rsidRPr="00241C78" w:rsidRDefault="00B2340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33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 проектно-сметной документации на строительство сельского дома культуры</w:t>
            </w:r>
          </w:p>
          <w:p w:rsidR="00C12E0D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</w:t>
            </w:r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нового сельского дома культуры</w:t>
            </w:r>
            <w:r w:rsidR="00B234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селе Екатериновка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12E0D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sz w:val="26"/>
                <w:szCs w:val="26"/>
              </w:rPr>
              <w:t xml:space="preserve">- </w:t>
            </w:r>
            <w:hyperlink r:id="rId6" w:history="1">
              <w:r w:rsidR="00C12E0D"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капитальный ремонт</w:t>
              </w:r>
            </w:hyperlink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сельских домов культуры</w:t>
            </w:r>
            <w:r w:rsidR="00C2406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 Голубовка и Новая Сила</w:t>
            </w:r>
            <w:r w:rsidR="00C12E0D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465D4" w:rsidRPr="00241C78" w:rsidRDefault="00F465D4" w:rsidP="00AC3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31D9F" w:rsidRPr="00241C78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ехническое переоснащение учреждений культуры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B23404" w:rsidP="00B234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троительство сельского дома культуры в с. Екатериновка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ввод объекта в эксплуатацию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существление капитального ремонта в сельских домах культуры в с. Голубовка и Новая Сила; 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 объектов культуры, в эксплуатацию после завершения строительства и капитального ремонта;</w:t>
            </w:r>
          </w:p>
          <w:p w:rsidR="00F465D4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укрепления материально-технической базы учреждений культуры</w:t>
            </w:r>
            <w:r w:rsidR="00C2406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переоснащение домов культура музыкальным и световым оборудованием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BA69F6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мебелью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AC332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редотвращение </w:t>
            </w:r>
            <w:hyperlink r:id="rId7" w:history="1">
              <w:r w:rsidR="00F465D4"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физического износа</w:t>
              </w:r>
            </w:hyperlink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зданий, оборудования и инвентаря;</w:t>
            </w:r>
          </w:p>
          <w:p w:rsidR="00F465D4" w:rsidRPr="00241C78" w:rsidRDefault="00F465D4" w:rsidP="00AC3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332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посещаемости сельских </w:t>
            </w:r>
            <w:hyperlink r:id="rId8" w:history="1">
              <w:r w:rsidRPr="00241C78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w:t>домов культуры</w:t>
              </w:r>
            </w:hyperlink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F465D4" w:rsidRPr="00241C78" w:rsidTr="007929B5">
        <w:trPr>
          <w:trHeight w:val="70"/>
        </w:trPr>
        <w:tc>
          <w:tcPr>
            <w:tcW w:w="3256" w:type="dxa"/>
            <w:vAlign w:val="center"/>
          </w:tcPr>
          <w:p w:rsidR="00F465D4" w:rsidRPr="00241C78" w:rsidRDefault="00F465D4" w:rsidP="00792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Главный исполнитель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vAlign w:val="center"/>
          </w:tcPr>
          <w:p w:rsidR="007929B5" w:rsidRPr="00241C78" w:rsidRDefault="007929B5" w:rsidP="007929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5D4" w:rsidRPr="00241C78" w:rsidRDefault="00F465D4" w:rsidP="00241C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Исполнителем Программы является</w:t>
            </w:r>
          </w:p>
          <w:p w:rsidR="00F465D4" w:rsidRPr="00241C78" w:rsidRDefault="00F465D4" w:rsidP="00241C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Екатериновского сельского поселения</w:t>
            </w:r>
          </w:p>
          <w:p w:rsidR="007929B5" w:rsidRPr="00241C78" w:rsidRDefault="007929B5" w:rsidP="007929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5D7C" w:rsidRPr="00241C78" w:rsidTr="007929B5">
        <w:trPr>
          <w:trHeight w:val="513"/>
        </w:trPr>
        <w:tc>
          <w:tcPr>
            <w:tcW w:w="3256" w:type="dxa"/>
            <w:vMerge w:val="restart"/>
          </w:tcPr>
          <w:p w:rsidR="00905D7C" w:rsidRPr="00241C78" w:rsidRDefault="00905D7C" w:rsidP="00F10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2"/>
          </w:tcPr>
          <w:p w:rsidR="00905D7C" w:rsidRPr="00241C78" w:rsidRDefault="00905D7C" w:rsidP="00905D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Программы за счет средств</w:t>
            </w:r>
          </w:p>
        </w:tc>
      </w:tr>
      <w:tr w:rsidR="00905D7C" w:rsidRPr="00241C78" w:rsidTr="007929B5">
        <w:trPr>
          <w:trHeight w:val="3643"/>
        </w:trPr>
        <w:tc>
          <w:tcPr>
            <w:tcW w:w="3256" w:type="dxa"/>
            <w:vMerge/>
          </w:tcPr>
          <w:p w:rsidR="00905D7C" w:rsidRPr="00241C78" w:rsidRDefault="00905D7C" w:rsidP="00F465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905D7C" w:rsidRPr="00575F90" w:rsidRDefault="00D956F0" w:rsidP="00905D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5D7C" w:rsidRPr="00575F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местного бюджета</w:t>
              </w:r>
            </w:hyperlink>
            <w:r w:rsidR="00905D7C" w:rsidRPr="00575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составляет </w:t>
            </w:r>
            <w:r w:rsidR="00107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903,2</w:t>
            </w:r>
            <w:r w:rsidR="00905D7C" w:rsidRPr="00575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</w:t>
            </w:r>
            <w:r w:rsidR="00905D7C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905D7C" w:rsidRPr="00575F90" w:rsidRDefault="00905D7C" w:rsidP="003C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3C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3C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Default="00905D7C" w:rsidP="003C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E2D" w:rsidRDefault="00B23404" w:rsidP="0010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Default="00B23404" w:rsidP="0010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Default="00B23404" w:rsidP="003C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2027 году -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Pr="00241C78" w:rsidRDefault="00B23404" w:rsidP="005C27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05D7C" w:rsidRPr="00575F90" w:rsidRDefault="00905D7C" w:rsidP="00905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</w:p>
          <w:p w:rsidR="00905D7C" w:rsidRPr="00575F90" w:rsidRDefault="00905D7C" w:rsidP="00905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составляет </w:t>
            </w:r>
            <w:r w:rsidR="00AC332E" w:rsidRPr="005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9 205,2</w:t>
            </w:r>
            <w:r w:rsidR="00AC332E" w:rsidRPr="0057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3C0D3F" w:rsidRDefault="003C0D3F" w:rsidP="003C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D7C" w:rsidRPr="00575F90" w:rsidRDefault="00905D7C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1703,4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Pr="00575F90" w:rsidRDefault="00905D7C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1455,0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05D7C" w:rsidRPr="00575F90" w:rsidRDefault="00905D7C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33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7760,0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D7C" w:rsidRDefault="00107E2D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</w:t>
            </w:r>
            <w:proofErr w:type="spellStart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10536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4571,7 </w:t>
            </w:r>
            <w:proofErr w:type="spellStart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Default="00B23404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4571,7 </w:t>
            </w:r>
            <w:proofErr w:type="spellStart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Default="00B23404" w:rsidP="00855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2027 году </w:t>
            </w:r>
            <w:r w:rsidR="0085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4571,7 </w:t>
            </w:r>
            <w:proofErr w:type="spellStart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07E2D" w:rsidRPr="0057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4" w:rsidRPr="00241C78" w:rsidRDefault="00B23404" w:rsidP="00AC3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-ввод объектов культуры в эксплуатацию после завершения строительства и капитального ремонта;</w:t>
            </w:r>
          </w:p>
          <w:p w:rsidR="00F465D4" w:rsidRPr="00241C78" w:rsidRDefault="00B8614E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капитального</w:t>
            </w:r>
            <w:proofErr w:type="gramEnd"/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ремонта в 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домах 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Голубовка и с. Новая Сила</w:t>
            </w:r>
            <w:r w:rsidR="00F465D4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-укрепление материально-технической базы учреждений культуры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переоснащение домов культур</w:t>
            </w:r>
            <w:r w:rsidR="000F3C47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музыкальным</w:t>
            </w:r>
            <w:r w:rsidR="00B6046C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звуковым</w:t>
            </w:r>
            <w:r w:rsidR="00B8614E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световым оборудованием</w:t>
            </w:r>
            <w:r w:rsidR="00BA69F6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мебелью</w:t>
            </w:r>
            <w:r w:rsidR="007929B5"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-предотвращение физического и морального износа зданий, оборудования и инвентаря;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посещаемости сельских домов культуры.</w:t>
            </w:r>
          </w:p>
        </w:tc>
      </w:tr>
      <w:tr w:rsidR="00F465D4" w:rsidRPr="00241C78" w:rsidTr="007929B5">
        <w:tc>
          <w:tcPr>
            <w:tcW w:w="3256" w:type="dxa"/>
            <w:vAlign w:val="center"/>
          </w:tcPr>
          <w:p w:rsidR="00F465D4" w:rsidRPr="00241C78" w:rsidRDefault="00F465D4" w:rsidP="00F465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 </w:t>
            </w:r>
            <w:hyperlink r:id="rId10" w:history="1">
              <w:r w:rsidRPr="00241C7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6"/>
                  <w:szCs w:val="26"/>
                  <w:lang w:eastAsia="ru-RU"/>
                </w:rPr>
                <w:t>организации контроля</w:t>
              </w:r>
            </w:hyperlink>
            <w:r w:rsidRPr="00241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за исполнением Программы</w:t>
            </w:r>
          </w:p>
        </w:tc>
        <w:tc>
          <w:tcPr>
            <w:tcW w:w="6520" w:type="dxa"/>
            <w:gridSpan w:val="2"/>
            <w:vAlign w:val="center"/>
          </w:tcPr>
          <w:p w:rsidR="00F465D4" w:rsidRPr="00241C78" w:rsidRDefault="00F465D4" w:rsidP="00AC33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управление реализацией Программы и контроль за ходом ее выполнения осуществляется муниципальным заказчиком</w:t>
            </w:r>
            <w:r w:rsidR="0082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Администрацией Екатериновского сельского поселения</w:t>
            </w:r>
          </w:p>
          <w:p w:rsidR="00F465D4" w:rsidRPr="00241C78" w:rsidRDefault="00F465D4" w:rsidP="00F46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0536" w:rsidRDefault="00F10536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1E4" w:rsidRPr="00F10536" w:rsidRDefault="00576FD0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8F31E4"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одержание проблемы и обоснование необходимости ее решения</w:t>
      </w:r>
    </w:p>
    <w:p w:rsidR="008F31E4" w:rsidRPr="00F10536" w:rsidRDefault="008F31E4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программными методами.</w:t>
      </w:r>
    </w:p>
    <w:p w:rsidR="00576FD0" w:rsidRPr="00F10536" w:rsidRDefault="00576FD0" w:rsidP="00576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8614E" w:rsidRPr="00827DE7">
        <w:rPr>
          <w:color w:val="000000"/>
          <w:sz w:val="26"/>
          <w:szCs w:val="26"/>
        </w:rPr>
        <w:t xml:space="preserve">Культура является той средой, в которой протекает человеческая жизнь, а значит, и жизнь всего общества, выступает средством собирания, хранения и </w:t>
      </w:r>
      <w:r w:rsidR="00B8614E" w:rsidRPr="00241C78">
        <w:rPr>
          <w:color w:val="000000"/>
          <w:sz w:val="26"/>
          <w:szCs w:val="26"/>
        </w:rPr>
        <w:t>передачи человеческого опыта.</w:t>
      </w:r>
      <w:r w:rsidRPr="00241C78">
        <w:rPr>
          <w:color w:val="000000"/>
          <w:sz w:val="26"/>
          <w:szCs w:val="26"/>
        </w:rPr>
        <w:t xml:space="preserve">  </w:t>
      </w:r>
      <w:r w:rsidR="00B8614E" w:rsidRPr="00241C78">
        <w:rPr>
          <w:color w:val="000000"/>
          <w:sz w:val="26"/>
          <w:szCs w:val="26"/>
        </w:rPr>
        <w:t xml:space="preserve">Именно культура делает человека личностью. Уровень культуры личности определяется ее социализированностью - приобщением к культурному наследию, степенью развития индивидуальных способностей. </w:t>
      </w:r>
      <w:r w:rsidR="00B8614E" w:rsidRPr="00241C78">
        <w:rPr>
          <w:color w:val="000000"/>
          <w:sz w:val="26"/>
          <w:szCs w:val="26"/>
        </w:rPr>
        <w:lastRenderedPageBreak/>
        <w:t>Культура личности проявляется в развитии творческих способностей, эрудиции, понимании произведений искусства, свободном владении родным и иностранными языками, аккуратностью, вежливостью, самообладанием, высокой нравственностью. Все это достигается в процессе воспитания и образования.</w:t>
      </w: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</w:t>
      </w:r>
      <w:r w:rsidR="00B8614E" w:rsidRPr="00241C78">
        <w:rPr>
          <w:color w:val="000000"/>
          <w:sz w:val="26"/>
          <w:szCs w:val="26"/>
        </w:rPr>
        <w:t>Культура регулирует поведение человека в семье, школе, на производстве, в быту, т. к. определяет социальные нормы. Нарушение этих норм приводит в действие определенные санкции. В сфере труда, быта, межличностных отношений культура, так или иначе, влияет на поведение людей и регулирует их действия, и даже выбор материальных и духовных ценностей. Регулятивная функция культуры поддерживается такими нормативными системами, как мораль и право.</w:t>
      </w:r>
    </w:p>
    <w:p w:rsidR="007929B5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  </w:t>
      </w:r>
      <w:r w:rsidR="00B8614E" w:rsidRPr="00241C78">
        <w:rPr>
          <w:color w:val="000000"/>
          <w:sz w:val="26"/>
          <w:szCs w:val="26"/>
        </w:rPr>
        <w:t>Культуру считают социальной памятью, т.к. кроме культуры, общество не располагает иными механизмами сосредоточения всего опыта, который был накоплен людьми.</w:t>
      </w:r>
      <w:r w:rsidRPr="00241C78">
        <w:rPr>
          <w:color w:val="000000"/>
          <w:sz w:val="26"/>
          <w:szCs w:val="26"/>
        </w:rPr>
        <w:t xml:space="preserve"> Она </w:t>
      </w:r>
      <w:r w:rsidR="00B8614E" w:rsidRPr="00241C78">
        <w:rPr>
          <w:color w:val="000000"/>
          <w:sz w:val="26"/>
          <w:szCs w:val="26"/>
        </w:rPr>
        <w:t>концентриру</w:t>
      </w:r>
      <w:r w:rsidRPr="00241C78">
        <w:rPr>
          <w:color w:val="000000"/>
          <w:sz w:val="26"/>
          <w:szCs w:val="26"/>
        </w:rPr>
        <w:t>ет</w:t>
      </w:r>
      <w:r w:rsidR="00B8614E" w:rsidRPr="00241C78">
        <w:rPr>
          <w:color w:val="000000"/>
          <w:sz w:val="26"/>
          <w:szCs w:val="26"/>
        </w:rPr>
        <w:t xml:space="preserve"> лучший социальный опыт множества поколений людей, приобретает способность накапливать богатейшие знания о мире и тем самым создавать благоприятные возможности для его познания и освоения. </w:t>
      </w:r>
      <w:r w:rsidRPr="00241C78">
        <w:rPr>
          <w:color w:val="000000"/>
          <w:sz w:val="26"/>
          <w:szCs w:val="26"/>
        </w:rPr>
        <w:t xml:space="preserve">   </w:t>
      </w:r>
    </w:p>
    <w:p w:rsidR="00B8614E" w:rsidRPr="00241C78" w:rsidRDefault="007929B5" w:rsidP="00827D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1C78">
        <w:rPr>
          <w:color w:val="000000"/>
          <w:sz w:val="26"/>
          <w:szCs w:val="26"/>
        </w:rPr>
        <w:t xml:space="preserve">      </w:t>
      </w:r>
      <w:r w:rsidR="00B8614E" w:rsidRPr="00241C78">
        <w:rPr>
          <w:color w:val="000000"/>
          <w:sz w:val="26"/>
          <w:szCs w:val="26"/>
        </w:rPr>
        <w:t>Общество интеллектуально настолько, насколько полно использует знания, содержащиеся в культурном генофонде человечества.</w:t>
      </w:r>
      <w:r w:rsidRPr="00241C78">
        <w:rPr>
          <w:color w:val="000000"/>
          <w:sz w:val="26"/>
          <w:szCs w:val="26"/>
        </w:rPr>
        <w:t xml:space="preserve"> </w:t>
      </w:r>
      <w:r w:rsidR="00B8614E" w:rsidRPr="00241C78">
        <w:rPr>
          <w:color w:val="000000"/>
          <w:sz w:val="26"/>
          <w:szCs w:val="26"/>
        </w:rPr>
        <w:t>Таким образом, культура является исторической памятью народа, своеобразным способом человеческого бытия и универсальным способом творческой самореализации человека.</w:t>
      </w:r>
    </w:p>
    <w:p w:rsidR="003C1BD3" w:rsidRPr="00241C78" w:rsidRDefault="007929B5" w:rsidP="00827D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Культурная среда становится ключевым понятием современного общества, наиболее точно характеризующим его культурную и духовную составляющую. Культурная среда - </w:t>
      </w:r>
      <w:r w:rsidR="00B301AD" w:rsidRPr="00241C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это комплекс предпочтений населения, сосредоточенных в границах определенного пространства. Данные культурные предпочтения проявляются в социальном поведении людей.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связи с этим формирование и развитие культурной среды становится важнейшим условием улучшения качества жизни населения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Екатериновском сельском поселении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Уже н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а протяжении 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многих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лет </w:t>
      </w:r>
      <w:r w:rsidR="00B301AD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приходится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сталкива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ть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ся с такими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проблемами, как: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утрата частью населения, особенно молодежью, основ традиционной культуры;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-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отсутствие, квалифицированных специалистов, художественного персонала, работающих в учреждениях культуры;</w:t>
      </w:r>
    </w:p>
    <w:p w:rsidR="003C1BD3" w:rsidRPr="00241C78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   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недостаточный объем средств, выделяемых на улучшение материально - технической базы учреждений культуры,</w:t>
      </w:r>
      <w:r w:rsidR="00A15976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что</w:t>
      </w:r>
      <w:r w:rsidR="00B301AD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C1BD3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негативно сказывается на качестве проведения мероприятий и оказании услуг населению учреждениями культуры.</w:t>
      </w:r>
    </w:p>
    <w:p w:rsidR="00506ACC" w:rsidRPr="00840496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7929B5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территории Екатериновского сельского поселения функционируют 3 сельских </w:t>
      </w:r>
      <w:proofErr w:type="gramStart"/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  культуры</w:t>
      </w:r>
      <w:proofErr w:type="gramEnd"/>
      <w:r w:rsidR="00506ACC" w:rsidRPr="00241C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расположены</w:t>
      </w:r>
      <w:r w:rsidR="007929B5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помещениях, не соответствующих современным требованиям. В селе Голубовка СДК расположен в «красном уголке», существовавшего ранее на территории села колхоз</w:t>
      </w:r>
      <w:r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="00506ACC" w:rsidRPr="00241C7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СДК села Екатериновка расположен в здании бывшего магазина, СДК села Новая Сила – в 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здании ранее существовавшего детского сада.</w:t>
      </w:r>
    </w:p>
    <w:p w:rsidR="003C1BD3" w:rsidRPr="00840496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Сохранение и развитие культуры 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Екатериновском сельском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поселени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требует комплексного и системного подхода. Потребность в изменении ситуации с у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четом ограниченности во времени</w:t>
      </w:r>
      <w:r w:rsidR="00506ACC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финансовых затратах и необходимость реализации комплекса мероприятий предполагает использование программно-целевого метода решения проблемы.</w:t>
      </w:r>
    </w:p>
    <w:p w:rsidR="003C1BD3" w:rsidRPr="00840496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Материальная база действующих 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СДК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изноше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на, не соответствует нормативам.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Функционирование не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отремонтированных зданий с устаревшим 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и изношенным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оборудованием не позволяет населению самореализовать себя в полной мере в культурно - досуговой жизни сельского поселения.</w:t>
      </w:r>
      <w:r w:rsidR="000F3C47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3C1BD3" w:rsidRPr="00840496" w:rsidRDefault="00657C21" w:rsidP="00576F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 xml:space="preserve">         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настоящее время решить проблему укрепления материально-технической базы учреждений культуры возможно за счет строительства нов</w:t>
      </w:r>
      <w:r w:rsidR="000F3C47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ого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объект</w:t>
      </w:r>
      <w:r w:rsidR="000F3C47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</w:t>
      </w:r>
      <w:r w:rsidR="00506ACC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ремонта существующих зданий и обновления специализированного оборудования и инвентаря</w:t>
      </w:r>
      <w:r w:rsidR="007929B5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приобретении новой мебели.</w:t>
      </w:r>
    </w:p>
    <w:p w:rsidR="008F31E4" w:rsidRPr="00241C78" w:rsidRDefault="007929B5" w:rsidP="00657C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 </w:t>
      </w:r>
      <w:r w:rsidR="003C1BD3" w:rsidRPr="0084049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этой связи разработка Программы является оптимальным решением проблемы в условиях 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</w:t>
      </w:r>
      <w:r w:rsidR="003C1BD3" w:rsidRPr="00241C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планирования</w:t>
      </w:r>
    </w:p>
    <w:p w:rsidR="008F31E4" w:rsidRPr="00241C78" w:rsidRDefault="00F10536" w:rsidP="00576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E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О</w:t>
      </w:r>
      <w:r w:rsidR="008F31E4" w:rsidRPr="00513E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сновные цели и задачи Программы.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Программы являются:</w:t>
      </w:r>
    </w:p>
    <w:p w:rsidR="008F31E4" w:rsidRPr="00241C78" w:rsidRDefault="00576FD0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оптимальных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удовлетворения социальных и культурно-досуговых потребностей населения.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решаются следующие основные задачи:</w:t>
      </w:r>
    </w:p>
    <w:p w:rsidR="0034591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строительство нов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сельского дома культуры в с. Екатериновка</w:t>
      </w:r>
    </w:p>
    <w:p w:rsidR="008F31E4" w:rsidRPr="00241C78" w:rsidRDefault="0034591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капитальный 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 в с. Голубовка и с. Новая Сила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обновление специального оборудования </w:t>
      </w:r>
      <w:r w:rsidR="007929B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мебели 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сельских домах культуры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Екатериновско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29B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                         </w:t>
      </w:r>
    </w:p>
    <w:p w:rsidR="008F31E4" w:rsidRPr="00241C78" w:rsidRDefault="008F31E4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и этапы реализации Программы.</w:t>
      </w:r>
    </w:p>
    <w:p w:rsidR="007929B5" w:rsidRPr="00241C78" w:rsidRDefault="007929B5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7929B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Настоящая п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рограмма предусматривает комплекс мероприятий, реализация которых должна начаться в 20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 Мероприятия по строительству, ремонту, укреплению материально-технической базы учреждений культуры должна быть реализованы в течение 20</w:t>
      </w:r>
      <w:r w:rsidR="00B4528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3C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</w:t>
      </w:r>
    </w:p>
    <w:p w:rsidR="007929B5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    </w:t>
      </w:r>
    </w:p>
    <w:p w:rsidR="008F31E4" w:rsidRPr="00241C78" w:rsidRDefault="008F31E4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Важнейшие целевые индикаторы и показатели Программы</w:t>
      </w:r>
    </w:p>
    <w:p w:rsidR="007929B5" w:rsidRPr="00241C78" w:rsidRDefault="007929B5" w:rsidP="0079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Default="007929B5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оценки эффективности реализации Программы «Строительство, ремонт и укрепление материально-технической базы учреждений культуры </w:t>
      </w:r>
      <w:r w:rsidR="009A53F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proofErr w:type="gramStart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на</w:t>
      </w:r>
      <w:proofErr w:type="gramEnd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9A53FC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3C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используются следующие показатели:</w:t>
      </w:r>
    </w:p>
    <w:p w:rsidR="00840496" w:rsidRPr="00241C78" w:rsidRDefault="0084049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проектно-сметной документации для строительства сельского дома культуры в селе Екатериновка;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строительство нов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с. Екатериновка</w:t>
      </w:r>
      <w:r w:rsidR="007929B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ввод его в эксплуатацию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выполнение капитального ремонта в 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домах культуры в с. Голубовка и с. Новая Сила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укрепления материально-технической базы учреждени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Екатериновского сельского поселения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F3C47" w:rsidRPr="0024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переоснащение домов культуры музыкальным и световым оборудованием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AC332E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9F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мебелью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предотвращение физического износа здания, оборудования и инвентаря;</w:t>
      </w: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посещаемости сельских домов культуры.</w:t>
      </w:r>
    </w:p>
    <w:p w:rsidR="00F10536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</w:p>
    <w:p w:rsidR="008F31E4" w:rsidRPr="00241C78" w:rsidRDefault="008F31E4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Программы.</w:t>
      </w:r>
    </w:p>
    <w:p w:rsidR="00F10536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3BF7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средства для решения проблемы строительства,</w:t>
      </w:r>
      <w:r w:rsidR="0008356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024D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657C21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монта и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укрепления материально-технической базы учреждени</w:t>
      </w:r>
      <w:r w:rsidR="000F3C4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083BF7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возможно при участии в краевых и федеральных программах в части софинансирования выделяемых </w:t>
      </w:r>
      <w:hyperlink r:id="rId11" w:history="1">
        <w:r w:rsidR="00083BF7" w:rsidRPr="00241C78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денежных средств</w:t>
        </w:r>
      </w:hyperlink>
      <w:r w:rsidR="00083BF7" w:rsidRPr="00241C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F31E4" w:rsidRPr="00241C78" w:rsidRDefault="00F10536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средств, необходимых для ре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ализации Программы, приведен в П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риложении № 1.</w:t>
      </w:r>
    </w:p>
    <w:p w:rsidR="00F10536" w:rsidRPr="00241C78" w:rsidRDefault="00F10536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31E4" w:rsidRPr="00241C78" w:rsidRDefault="008F31E4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социально-экономической эффективности реализации Программы.</w:t>
      </w:r>
    </w:p>
    <w:p w:rsidR="00F10536" w:rsidRPr="00241C78" w:rsidRDefault="00F10536" w:rsidP="00F10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8F31E4" w:rsidP="00F1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F21A2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105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реализации Программы будут созданы оптимальные условия для удовлетворения социальных и культурно-досуговых потребностей населения, а также повысится посещаемость сельских домов культуры.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105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построить  </w:t>
      </w:r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сельский</w:t>
      </w:r>
      <w:proofErr w:type="gramEnd"/>
      <w:r w:rsidR="00345915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8A45E3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с. Екатериновка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02219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провести капитальный ремонт </w:t>
      </w:r>
      <w:r w:rsidR="008A45E3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 в с. Новая Сила и Голубовка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предотвратить физический износ здани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оборудования и инвентаря </w:t>
      </w:r>
      <w:r w:rsidR="00657C21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домов культуры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привести здани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культуры, в соответствии с нормативными и эксплуатационными требованиями;</w:t>
      </w:r>
    </w:p>
    <w:p w:rsidR="008F31E4" w:rsidRPr="00241C78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повысить посещаемость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сельских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домов культуры для проведения культурно-массовых мероприятий;</w:t>
      </w:r>
    </w:p>
    <w:p w:rsidR="008F31E4" w:rsidRPr="00513E2E" w:rsidRDefault="008F31E4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укрепить </w:t>
      </w:r>
      <w:r w:rsidRPr="00513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материально-техническую базу учреждений культуры.</w:t>
      </w:r>
    </w:p>
    <w:p w:rsidR="001C2161" w:rsidRPr="00241C78" w:rsidRDefault="001C2161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E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приобрести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</w:t>
      </w:r>
      <w:r w:rsidR="00FA57E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57E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звуковое и </w:t>
      </w:r>
      <w:r w:rsidR="000F3C47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световое оборудование</w:t>
      </w:r>
      <w:r w:rsidR="00BA69F6" w:rsidRPr="00513E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69F6" w:rsidRPr="0024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</w:t>
      </w:r>
    </w:p>
    <w:p w:rsidR="00441A7D" w:rsidRDefault="00FF21A2" w:rsidP="004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73E4E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</w:t>
      </w:r>
      <w:r w:rsidR="00DF674B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 переоснащения сельских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специализированным оборудованием и инвентарем позволит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</w:t>
      </w:r>
      <w:r w:rsidR="00441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уровень работы домов культуры.</w:t>
      </w:r>
    </w:p>
    <w:p w:rsidR="00C90044" w:rsidRDefault="008F31E4" w:rsidP="00C90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  <w:r w:rsidRPr="00441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</w:p>
    <w:p w:rsidR="008F31E4" w:rsidRDefault="008F31E4" w:rsidP="00C9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организации контроля за ходом реализации Программы.</w:t>
      </w:r>
    </w:p>
    <w:p w:rsidR="00C90044" w:rsidRPr="00241C78" w:rsidRDefault="00C90044" w:rsidP="00C90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реализацией Программы осуществляется главным исполнителем Программы – Администрацией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Екатериновского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8F31E4" w:rsidRPr="00241C78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756636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Екатериновского</w:t>
      </w:r>
      <w:r w:rsidR="0008356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соблюдением сроков и очереднос</w:t>
      </w: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 </w:t>
      </w:r>
      <w:proofErr w:type="gramStart"/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строительства,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капитального</w:t>
      </w:r>
      <w:proofErr w:type="gramEnd"/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ремонта, разрабатывает предложения по наиболее эффективному использованию денежных средств для решения поставленных Программой задач.</w:t>
      </w:r>
    </w:p>
    <w:p w:rsidR="008F31E4" w:rsidRPr="00880AFA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F31E4"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</w:t>
      </w:r>
      <w:r w:rsidR="008F31E4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на основе муниципального контракта (договора), заключаемого в установленном порядке.</w:t>
      </w:r>
    </w:p>
    <w:p w:rsidR="008F31E4" w:rsidRPr="00880AFA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F31E4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реализацией мероприятий Программы осуществляется Администрацией </w:t>
      </w:r>
      <w:r w:rsidR="00756636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Екатериновского </w:t>
      </w:r>
      <w:r w:rsidR="008F31E4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поселения.</w:t>
      </w:r>
    </w:p>
    <w:p w:rsidR="008F31E4" w:rsidRPr="00880AFA" w:rsidRDefault="00FF21A2" w:rsidP="00FF2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F31E4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целевым использованием выделенных средств</w:t>
      </w:r>
      <w:r w:rsidR="00756636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Администрацией Екатериновского</w:t>
      </w:r>
      <w:r w:rsidR="008F31E4" w:rsidRPr="00880A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9F2CDC" w:rsidRPr="00441A7D" w:rsidRDefault="009F2CDC" w:rsidP="009F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0AFA">
        <w:rPr>
          <w:rFonts w:ascii="Times New Roman" w:hAnsi="Times New Roman" w:cs="Times New Roman"/>
          <w:color w:val="000000" w:themeColor="text1"/>
          <w:sz w:val="26"/>
          <w:szCs w:val="26"/>
        </w:rPr>
        <w:t>При реализации Программы возможно возникновение следующих рисков, которые могут препятствовать достижению планируемых результатов</w:t>
      </w:r>
      <w:r w:rsidRPr="00441A7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color w:val="000000"/>
          <w:sz w:val="26"/>
          <w:szCs w:val="26"/>
        </w:rPr>
        <w:t>- бюджетные риски,</w:t>
      </w:r>
      <w:r w:rsidRPr="00441A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1A7D">
        <w:rPr>
          <w:rFonts w:ascii="Times New Roman" w:hAnsi="Times New Roman" w:cs="Times New Roman"/>
          <w:sz w:val="26"/>
          <w:szCs w:val="26"/>
        </w:rPr>
        <w:t xml:space="preserve">связанные с дефицитом регионального бюджета и возможностью невыполнения своих обязательств по </w:t>
      </w:r>
      <w:proofErr w:type="spellStart"/>
      <w:r w:rsidRPr="00441A7D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441A7D">
        <w:rPr>
          <w:rFonts w:ascii="Times New Roman" w:hAnsi="Times New Roman" w:cs="Times New Roman"/>
          <w:sz w:val="26"/>
          <w:szCs w:val="26"/>
        </w:rPr>
        <w:t xml:space="preserve"> мероприятий Программы;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 xml:space="preserve">- иные другие риски, которые могут препятствовать выполнению Программы. </w:t>
      </w:r>
    </w:p>
    <w:p w:rsidR="009F2CDC" w:rsidRPr="00441A7D" w:rsidRDefault="009F2CDC" w:rsidP="009F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A7D">
        <w:rPr>
          <w:rFonts w:ascii="Times New Roman" w:hAnsi="Times New Roman" w:cs="Times New Roman"/>
          <w:sz w:val="26"/>
          <w:szCs w:val="26"/>
        </w:rPr>
        <w:t>В таком случае Программа подлежит корректировке.</w:t>
      </w:r>
    </w:p>
    <w:p w:rsidR="000A496B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sectPr w:rsidR="000A496B" w:rsidSect="00AC332E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24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31E4" w:rsidRPr="009D7CA9" w:rsidRDefault="008F31E4" w:rsidP="00B652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373E4E"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9D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1E4" w:rsidRPr="00A631EA" w:rsidRDefault="008F31E4" w:rsidP="00B65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05D" w:rsidRPr="00A631EA" w:rsidRDefault="008F31E4" w:rsidP="00AA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405D" w:rsidRPr="00A6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средств, необходимых для реализации Программы</w:t>
      </w:r>
    </w:p>
    <w:p w:rsidR="008F31E4" w:rsidRPr="003E500A" w:rsidRDefault="008F31E4" w:rsidP="008F3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3C0D3F" w:rsidRPr="00A631EA" w:rsidTr="009B73F7">
        <w:tc>
          <w:tcPr>
            <w:tcW w:w="704" w:type="dxa"/>
            <w:vAlign w:val="center"/>
          </w:tcPr>
          <w:p w:rsidR="003C0D3F" w:rsidRPr="00A631EA" w:rsidRDefault="003C0D3F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C0D3F" w:rsidRPr="00A631EA" w:rsidRDefault="003C0D3F" w:rsidP="009B73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12" w:type="dxa"/>
            <w:vAlign w:val="center"/>
          </w:tcPr>
          <w:p w:rsidR="003C0D3F" w:rsidRPr="00A631EA" w:rsidRDefault="003C0D3F" w:rsidP="009B73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и финансирование программы</w:t>
            </w:r>
          </w:p>
        </w:tc>
        <w:tc>
          <w:tcPr>
            <w:tcW w:w="2912" w:type="dxa"/>
            <w:vAlign w:val="center"/>
          </w:tcPr>
          <w:p w:rsidR="003C0D3F" w:rsidRPr="00A631EA" w:rsidRDefault="003C0D3F" w:rsidP="009B73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 составляет (</w:t>
            </w:r>
            <w:proofErr w:type="spellStart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12" w:type="dxa"/>
            <w:vAlign w:val="center"/>
          </w:tcPr>
          <w:p w:rsidR="003C0D3F" w:rsidRPr="00A631EA" w:rsidRDefault="003C0D3F" w:rsidP="009B7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Программы за счет средств краевого бюджета составляет</w:t>
            </w:r>
          </w:p>
          <w:p w:rsidR="003C0D3F" w:rsidRPr="00A631EA" w:rsidRDefault="003C0D3F" w:rsidP="009B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6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76207C" w:rsidRPr="00A631EA" w:rsidTr="00E37071">
        <w:tc>
          <w:tcPr>
            <w:tcW w:w="704" w:type="dxa"/>
            <w:vAlign w:val="center"/>
          </w:tcPr>
          <w:p w:rsidR="0076207C" w:rsidRPr="00A631EA" w:rsidRDefault="0076207C" w:rsidP="0076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vAlign w:val="center"/>
          </w:tcPr>
          <w:p w:rsidR="0076207C" w:rsidRPr="00A631EA" w:rsidRDefault="0076207C" w:rsidP="00762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СДК с. Новая Сила</w:t>
            </w:r>
          </w:p>
        </w:tc>
        <w:tc>
          <w:tcPr>
            <w:tcW w:w="2912" w:type="dxa"/>
            <w:vAlign w:val="center"/>
          </w:tcPr>
          <w:p w:rsidR="0076207C" w:rsidRPr="00107E2D" w:rsidRDefault="0076207C" w:rsidP="00344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441D4"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</w:tcPr>
          <w:p w:rsidR="0076207C" w:rsidRPr="00107E2D" w:rsidRDefault="0076207C" w:rsidP="00762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12" w:type="dxa"/>
          </w:tcPr>
          <w:p w:rsidR="0076207C" w:rsidRPr="00107E2D" w:rsidRDefault="0076207C" w:rsidP="00762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802,8</w:t>
            </w:r>
          </w:p>
        </w:tc>
      </w:tr>
      <w:tr w:rsidR="0076207C" w:rsidRPr="00A631EA" w:rsidTr="00107E2D">
        <w:trPr>
          <w:trHeight w:val="331"/>
        </w:trPr>
        <w:tc>
          <w:tcPr>
            <w:tcW w:w="704" w:type="dxa"/>
            <w:vAlign w:val="center"/>
          </w:tcPr>
          <w:p w:rsidR="0076207C" w:rsidRPr="00A631EA" w:rsidRDefault="0076207C" w:rsidP="0076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76207C" w:rsidRDefault="00107E2D" w:rsidP="0010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6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="0076207C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СДК с. Голубовка</w:t>
            </w:r>
          </w:p>
        </w:tc>
        <w:tc>
          <w:tcPr>
            <w:tcW w:w="2912" w:type="dxa"/>
            <w:vAlign w:val="center"/>
          </w:tcPr>
          <w:p w:rsidR="0076207C" w:rsidRPr="00107E2D" w:rsidRDefault="0076207C" w:rsidP="00762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12" w:type="dxa"/>
          </w:tcPr>
          <w:p w:rsidR="0076207C" w:rsidRPr="00107E2D" w:rsidRDefault="0076207C" w:rsidP="00762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6207C" w:rsidRPr="00107E2D" w:rsidRDefault="0076207C" w:rsidP="00762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6207C" w:rsidRPr="00107E2D" w:rsidRDefault="0076207C" w:rsidP="00762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900,6</w:t>
            </w:r>
          </w:p>
        </w:tc>
      </w:tr>
      <w:tr w:rsidR="001B4285" w:rsidRPr="00A631EA" w:rsidTr="009B73F7">
        <w:tc>
          <w:tcPr>
            <w:tcW w:w="704" w:type="dxa"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0" w:type="dxa"/>
            <w:vAlign w:val="center"/>
          </w:tcPr>
          <w:p w:rsidR="001B4285" w:rsidRDefault="001B4285" w:rsidP="009B73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для строительства сельского дома культуры</w:t>
            </w:r>
          </w:p>
        </w:tc>
        <w:tc>
          <w:tcPr>
            <w:tcW w:w="2912" w:type="dxa"/>
            <w:vAlign w:val="center"/>
          </w:tcPr>
          <w:p w:rsidR="001B4285" w:rsidRPr="00107E2D" w:rsidRDefault="001B4285" w:rsidP="00BB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B6ADA"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vAlign w:val="center"/>
          </w:tcPr>
          <w:p w:rsidR="001B4285" w:rsidRPr="00107E2D" w:rsidRDefault="00107E2D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912" w:type="dxa"/>
            <w:vAlign w:val="center"/>
          </w:tcPr>
          <w:p w:rsidR="001B4285" w:rsidRPr="00107E2D" w:rsidRDefault="0076207C" w:rsidP="00107E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07E2D"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4285" w:rsidRPr="00A631EA" w:rsidTr="009B73F7">
        <w:tc>
          <w:tcPr>
            <w:tcW w:w="704" w:type="dxa"/>
            <w:vMerge w:val="restart"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0" w:type="dxa"/>
            <w:vMerge w:val="restart"/>
            <w:vAlign w:val="center"/>
          </w:tcPr>
          <w:p w:rsidR="00D956F0" w:rsidRDefault="001B4285" w:rsidP="00D95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сельского дома культуры</w:t>
            </w:r>
          </w:p>
          <w:p w:rsidR="001B4285" w:rsidRDefault="001B4285" w:rsidP="00D95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Екатериновка</w:t>
            </w:r>
            <w:bookmarkStart w:id="0" w:name="_GoBack"/>
            <w:bookmarkEnd w:id="0"/>
          </w:p>
        </w:tc>
        <w:tc>
          <w:tcPr>
            <w:tcW w:w="2912" w:type="dxa"/>
            <w:vAlign w:val="center"/>
          </w:tcPr>
          <w:p w:rsidR="001B4285" w:rsidRPr="00107E2D" w:rsidRDefault="001B4285" w:rsidP="00BB6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B6ADA" w:rsidRPr="0010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vAlign w:val="center"/>
          </w:tcPr>
          <w:p w:rsidR="001B4285" w:rsidRPr="00107E2D" w:rsidRDefault="001B4285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  <w:vAlign w:val="center"/>
          </w:tcPr>
          <w:p w:rsidR="001B4285" w:rsidRPr="00107E2D" w:rsidRDefault="001B4285" w:rsidP="001B42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4 571,7</w:t>
            </w:r>
          </w:p>
        </w:tc>
      </w:tr>
      <w:tr w:rsidR="001B4285" w:rsidRPr="00A631EA" w:rsidTr="009B73F7">
        <w:trPr>
          <w:trHeight w:val="233"/>
        </w:trPr>
        <w:tc>
          <w:tcPr>
            <w:tcW w:w="704" w:type="dxa"/>
            <w:vMerge/>
            <w:vAlign w:val="center"/>
          </w:tcPr>
          <w:p w:rsidR="001B4285" w:rsidRPr="00A631EA" w:rsidRDefault="001B4285" w:rsidP="001B4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1B4285" w:rsidRPr="00A631EA" w:rsidRDefault="001B4285" w:rsidP="001B4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1B4285" w:rsidRPr="00107E2D" w:rsidRDefault="00BB6ADA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2" w:type="dxa"/>
          </w:tcPr>
          <w:p w:rsidR="001B4285" w:rsidRPr="00107E2D" w:rsidRDefault="001B4285" w:rsidP="001B4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1B4285" w:rsidRPr="00107E2D" w:rsidRDefault="001B4285" w:rsidP="001B4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4 571,7</w:t>
            </w:r>
          </w:p>
        </w:tc>
      </w:tr>
      <w:tr w:rsidR="001B4285" w:rsidRPr="00A631EA" w:rsidTr="009B73F7">
        <w:trPr>
          <w:trHeight w:val="345"/>
        </w:trPr>
        <w:tc>
          <w:tcPr>
            <w:tcW w:w="704" w:type="dxa"/>
            <w:vMerge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1B4285" w:rsidRPr="00107E2D" w:rsidRDefault="00BB6ADA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12" w:type="dxa"/>
          </w:tcPr>
          <w:p w:rsidR="001B4285" w:rsidRPr="00107E2D" w:rsidRDefault="001B4285" w:rsidP="001B4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1B4285" w:rsidRPr="00107E2D" w:rsidRDefault="00107E2D" w:rsidP="001B4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4 571,7</w:t>
            </w:r>
          </w:p>
        </w:tc>
      </w:tr>
      <w:tr w:rsidR="001B4285" w:rsidRPr="00A631EA" w:rsidTr="009B73F7">
        <w:trPr>
          <w:trHeight w:val="278"/>
        </w:trPr>
        <w:tc>
          <w:tcPr>
            <w:tcW w:w="704" w:type="dxa"/>
            <w:vMerge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vMerge/>
            <w:vAlign w:val="center"/>
          </w:tcPr>
          <w:p w:rsidR="001B4285" w:rsidRPr="00A631EA" w:rsidRDefault="001B4285" w:rsidP="009B7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</w:tcPr>
          <w:p w:rsidR="001B4285" w:rsidRPr="00107E2D" w:rsidRDefault="00BB6ADA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912" w:type="dxa"/>
          </w:tcPr>
          <w:p w:rsidR="001B4285" w:rsidRPr="00107E2D" w:rsidRDefault="001B4285" w:rsidP="001B4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141,4</w:t>
            </w:r>
          </w:p>
        </w:tc>
        <w:tc>
          <w:tcPr>
            <w:tcW w:w="2912" w:type="dxa"/>
          </w:tcPr>
          <w:p w:rsidR="001B4285" w:rsidRPr="00107E2D" w:rsidRDefault="001B4285" w:rsidP="001B4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hAnsi="Times New Roman" w:cs="Times New Roman"/>
                <w:bCs/>
                <w:sz w:val="24"/>
                <w:szCs w:val="24"/>
              </w:rPr>
              <w:t>4 571,7</w:t>
            </w:r>
          </w:p>
        </w:tc>
      </w:tr>
      <w:tr w:rsidR="003C0D3F" w:rsidRPr="00A631EA" w:rsidTr="009B73F7">
        <w:tc>
          <w:tcPr>
            <w:tcW w:w="704" w:type="dxa"/>
            <w:vAlign w:val="center"/>
          </w:tcPr>
          <w:p w:rsidR="003C0D3F" w:rsidRPr="00A631EA" w:rsidRDefault="001B4285" w:rsidP="009B7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D3F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0" w:type="dxa"/>
            <w:vAlign w:val="center"/>
          </w:tcPr>
          <w:p w:rsidR="003C0D3F" w:rsidRPr="00DC27AE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2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переоснащение учреждений культуры</w:t>
            </w:r>
          </w:p>
        </w:tc>
        <w:tc>
          <w:tcPr>
            <w:tcW w:w="2912" w:type="dxa"/>
            <w:vAlign w:val="center"/>
          </w:tcPr>
          <w:p w:rsidR="003C0D3F" w:rsidRPr="00107E2D" w:rsidRDefault="003C0D3F" w:rsidP="001B4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C0D3F" w:rsidRPr="00107E2D" w:rsidRDefault="003C0D3F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0D3F" w:rsidRPr="00107E2D" w:rsidRDefault="003C0D3F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3F" w:rsidRPr="00A631EA" w:rsidTr="009B73F7">
        <w:tc>
          <w:tcPr>
            <w:tcW w:w="704" w:type="dxa"/>
            <w:vAlign w:val="center"/>
          </w:tcPr>
          <w:p w:rsidR="003C0D3F" w:rsidRPr="00A631EA" w:rsidRDefault="001B4285" w:rsidP="009B73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D3F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20" w:type="dxa"/>
            <w:vAlign w:val="center"/>
          </w:tcPr>
          <w:p w:rsidR="00DC27AE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музыкального, звукового, светового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мебели</w:t>
            </w:r>
          </w:p>
          <w:p w:rsidR="003C0D3F" w:rsidRPr="00A631EA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СДК с. </w:t>
            </w:r>
            <w:r w:rsidR="001B4285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Новая Сила</w:t>
            </w:r>
          </w:p>
        </w:tc>
        <w:tc>
          <w:tcPr>
            <w:tcW w:w="2912" w:type="dxa"/>
            <w:vAlign w:val="center"/>
          </w:tcPr>
          <w:p w:rsidR="003C0D3F" w:rsidRPr="00107E2D" w:rsidRDefault="001B4285" w:rsidP="00BB6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6ADA"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0D3F"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DC27AE" w:rsidRDefault="00DC27AE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3F" w:rsidRPr="00107E2D" w:rsidRDefault="001B4285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12" w:type="dxa"/>
          </w:tcPr>
          <w:p w:rsidR="00DC27AE" w:rsidRDefault="00DC27AE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D3F" w:rsidRPr="00107E2D" w:rsidRDefault="003441D4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3C0D3F" w:rsidRPr="00A631EA" w:rsidTr="009B73F7">
        <w:tc>
          <w:tcPr>
            <w:tcW w:w="704" w:type="dxa"/>
            <w:vAlign w:val="center"/>
          </w:tcPr>
          <w:p w:rsidR="003C0D3F" w:rsidRPr="00A631EA" w:rsidRDefault="001B4285" w:rsidP="009B73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D3F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20" w:type="dxa"/>
            <w:vAlign w:val="center"/>
          </w:tcPr>
          <w:p w:rsidR="00DC27AE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музыкального, звукового, светового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мебели</w:t>
            </w: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C0D3F" w:rsidRPr="00A631EA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СДК с. Голубовка</w:t>
            </w:r>
          </w:p>
        </w:tc>
        <w:tc>
          <w:tcPr>
            <w:tcW w:w="2912" w:type="dxa"/>
            <w:vAlign w:val="center"/>
          </w:tcPr>
          <w:p w:rsidR="003C0D3F" w:rsidRPr="00107E2D" w:rsidRDefault="00BB6ADA" w:rsidP="009B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B4285"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DC27AE" w:rsidRDefault="00DC27AE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3F" w:rsidRPr="00107E2D" w:rsidRDefault="003C0D3F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12" w:type="dxa"/>
          </w:tcPr>
          <w:p w:rsidR="00DC27AE" w:rsidRDefault="00DC27AE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D3F" w:rsidRPr="00107E2D" w:rsidRDefault="003C0D3F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</w:tr>
      <w:tr w:rsidR="003C0D3F" w:rsidRPr="00A631EA" w:rsidTr="009B73F7">
        <w:tc>
          <w:tcPr>
            <w:tcW w:w="704" w:type="dxa"/>
            <w:vAlign w:val="center"/>
          </w:tcPr>
          <w:p w:rsidR="003C0D3F" w:rsidRPr="00A631EA" w:rsidRDefault="001B4285" w:rsidP="009B73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D3F"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120" w:type="dxa"/>
            <w:vAlign w:val="center"/>
          </w:tcPr>
          <w:p w:rsidR="00DC27AE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музыкального, звукового, светового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мебели </w:t>
            </w:r>
          </w:p>
          <w:p w:rsidR="003C0D3F" w:rsidRPr="00A631EA" w:rsidRDefault="003C0D3F" w:rsidP="00DC27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СДК с. </w:t>
            </w:r>
            <w:r w:rsidR="001B4285" w:rsidRPr="00A63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Екатериновка</w:t>
            </w:r>
          </w:p>
        </w:tc>
        <w:tc>
          <w:tcPr>
            <w:tcW w:w="2912" w:type="dxa"/>
            <w:vAlign w:val="center"/>
          </w:tcPr>
          <w:p w:rsidR="003C0D3F" w:rsidRPr="00107E2D" w:rsidRDefault="003C0D3F" w:rsidP="001B4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6ADA" w:rsidRPr="0010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912" w:type="dxa"/>
          </w:tcPr>
          <w:p w:rsidR="00DC27AE" w:rsidRDefault="00DC27AE" w:rsidP="001B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3F" w:rsidRPr="00107E2D" w:rsidRDefault="001B4285" w:rsidP="001B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12" w:type="dxa"/>
          </w:tcPr>
          <w:p w:rsidR="00DC27AE" w:rsidRDefault="00DC27AE" w:rsidP="0034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D3F" w:rsidRPr="00107E2D" w:rsidRDefault="003441D4" w:rsidP="00344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3C0D3F" w:rsidRPr="00A631EA" w:rsidTr="009B73F7">
        <w:tc>
          <w:tcPr>
            <w:tcW w:w="8736" w:type="dxa"/>
            <w:gridSpan w:val="3"/>
            <w:vAlign w:val="center"/>
          </w:tcPr>
          <w:p w:rsidR="003C0D3F" w:rsidRPr="00A631EA" w:rsidRDefault="003C0D3F" w:rsidP="009B7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="0034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2912" w:type="dxa"/>
          </w:tcPr>
          <w:p w:rsidR="003C0D3F" w:rsidRPr="00A631EA" w:rsidRDefault="00107E2D" w:rsidP="009B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  <w:tc>
          <w:tcPr>
            <w:tcW w:w="2912" w:type="dxa"/>
          </w:tcPr>
          <w:p w:rsidR="003C0D3F" w:rsidRPr="00A631EA" w:rsidRDefault="00107E2D" w:rsidP="009B7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29 205,2</w:t>
            </w:r>
          </w:p>
        </w:tc>
      </w:tr>
    </w:tbl>
    <w:p w:rsidR="00772621" w:rsidRPr="003E500A" w:rsidRDefault="00772621">
      <w:pPr>
        <w:rPr>
          <w:rFonts w:ascii="Times New Roman" w:hAnsi="Times New Roman" w:cs="Times New Roman"/>
        </w:rPr>
      </w:pPr>
    </w:p>
    <w:sectPr w:rsidR="00772621" w:rsidRPr="003E500A" w:rsidSect="00B652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91144"/>
    <w:multiLevelType w:val="hybridMultilevel"/>
    <w:tmpl w:val="2068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6E"/>
    <w:rsid w:val="000071E2"/>
    <w:rsid w:val="0001024D"/>
    <w:rsid w:val="00083564"/>
    <w:rsid w:val="00083BF7"/>
    <w:rsid w:val="000A496B"/>
    <w:rsid w:val="000F3C47"/>
    <w:rsid w:val="00102602"/>
    <w:rsid w:val="00106262"/>
    <w:rsid w:val="0010733A"/>
    <w:rsid w:val="00107E2D"/>
    <w:rsid w:val="001B4285"/>
    <w:rsid w:val="001C2161"/>
    <w:rsid w:val="00202219"/>
    <w:rsid w:val="002047D7"/>
    <w:rsid w:val="002413A3"/>
    <w:rsid w:val="00241C78"/>
    <w:rsid w:val="00263082"/>
    <w:rsid w:val="002A5AF8"/>
    <w:rsid w:val="002F66B3"/>
    <w:rsid w:val="00333E4F"/>
    <w:rsid w:val="00343ED6"/>
    <w:rsid w:val="003441D4"/>
    <w:rsid w:val="00345915"/>
    <w:rsid w:val="0035262E"/>
    <w:rsid w:val="00354B2B"/>
    <w:rsid w:val="00373E4E"/>
    <w:rsid w:val="003C0D3F"/>
    <w:rsid w:val="003C1BD3"/>
    <w:rsid w:val="003E0795"/>
    <w:rsid w:val="003E4FE7"/>
    <w:rsid w:val="003E500A"/>
    <w:rsid w:val="00441A7D"/>
    <w:rsid w:val="00467B53"/>
    <w:rsid w:val="00506ACC"/>
    <w:rsid w:val="0050788C"/>
    <w:rsid w:val="00513E2E"/>
    <w:rsid w:val="0056557E"/>
    <w:rsid w:val="00567EAB"/>
    <w:rsid w:val="00575F90"/>
    <w:rsid w:val="00576FD0"/>
    <w:rsid w:val="005A3D94"/>
    <w:rsid w:val="005C2740"/>
    <w:rsid w:val="005F4CC0"/>
    <w:rsid w:val="00631D9F"/>
    <w:rsid w:val="00650B8B"/>
    <w:rsid w:val="00657C21"/>
    <w:rsid w:val="006721EE"/>
    <w:rsid w:val="00684730"/>
    <w:rsid w:val="006B30E7"/>
    <w:rsid w:val="006F6F2E"/>
    <w:rsid w:val="0071346F"/>
    <w:rsid w:val="00756636"/>
    <w:rsid w:val="0076207C"/>
    <w:rsid w:val="00772621"/>
    <w:rsid w:val="00777FE8"/>
    <w:rsid w:val="007929B5"/>
    <w:rsid w:val="007D08A0"/>
    <w:rsid w:val="007E6A81"/>
    <w:rsid w:val="00810506"/>
    <w:rsid w:val="0082187B"/>
    <w:rsid w:val="00827DE7"/>
    <w:rsid w:val="00835186"/>
    <w:rsid w:val="00840496"/>
    <w:rsid w:val="00855902"/>
    <w:rsid w:val="00880AFA"/>
    <w:rsid w:val="00893BC5"/>
    <w:rsid w:val="008A45E3"/>
    <w:rsid w:val="008F31E4"/>
    <w:rsid w:val="008F4F48"/>
    <w:rsid w:val="00905D7C"/>
    <w:rsid w:val="00925EFB"/>
    <w:rsid w:val="009834C9"/>
    <w:rsid w:val="00984690"/>
    <w:rsid w:val="009A0E35"/>
    <w:rsid w:val="009A53FC"/>
    <w:rsid w:val="009D1652"/>
    <w:rsid w:val="009D7CA9"/>
    <w:rsid w:val="009F2CDC"/>
    <w:rsid w:val="00A078CF"/>
    <w:rsid w:val="00A15976"/>
    <w:rsid w:val="00A631EA"/>
    <w:rsid w:val="00AA405D"/>
    <w:rsid w:val="00AC332E"/>
    <w:rsid w:val="00AE196E"/>
    <w:rsid w:val="00B17297"/>
    <w:rsid w:val="00B23404"/>
    <w:rsid w:val="00B301AD"/>
    <w:rsid w:val="00B4528C"/>
    <w:rsid w:val="00B6046C"/>
    <w:rsid w:val="00B652B7"/>
    <w:rsid w:val="00B74AAD"/>
    <w:rsid w:val="00B82314"/>
    <w:rsid w:val="00B8614E"/>
    <w:rsid w:val="00BA69F6"/>
    <w:rsid w:val="00BB6ADA"/>
    <w:rsid w:val="00BB7FA7"/>
    <w:rsid w:val="00C12E0D"/>
    <w:rsid w:val="00C1646F"/>
    <w:rsid w:val="00C24064"/>
    <w:rsid w:val="00C82ACA"/>
    <w:rsid w:val="00C90044"/>
    <w:rsid w:val="00C963A5"/>
    <w:rsid w:val="00D02B47"/>
    <w:rsid w:val="00D21615"/>
    <w:rsid w:val="00D455BF"/>
    <w:rsid w:val="00D74CDD"/>
    <w:rsid w:val="00D956F0"/>
    <w:rsid w:val="00DC27AE"/>
    <w:rsid w:val="00DF674B"/>
    <w:rsid w:val="00ED39E8"/>
    <w:rsid w:val="00F10536"/>
    <w:rsid w:val="00F27BC4"/>
    <w:rsid w:val="00F426F5"/>
    <w:rsid w:val="00F465D4"/>
    <w:rsid w:val="00F534FB"/>
    <w:rsid w:val="00F642EE"/>
    <w:rsid w:val="00F6733F"/>
    <w:rsid w:val="00FA57E7"/>
    <w:rsid w:val="00FB5C62"/>
    <w:rsid w:val="00FC7AC1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25DC-9A45-462E-94C7-3D994FBF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1E4"/>
    <w:rPr>
      <w:b/>
      <w:bCs/>
    </w:rPr>
  </w:style>
  <w:style w:type="character" w:styleId="a5">
    <w:name w:val="Hyperlink"/>
    <w:basedOn w:val="a0"/>
    <w:uiPriority w:val="99"/>
    <w:semiHidden/>
    <w:unhideWhenUsed/>
    <w:rsid w:val="008F31E4"/>
    <w:rPr>
      <w:color w:val="0000FF"/>
      <w:u w:val="single"/>
    </w:rPr>
  </w:style>
  <w:style w:type="paragraph" w:customStyle="1" w:styleId="ConsPlusNormal">
    <w:name w:val="ConsPlusNormal"/>
    <w:rsid w:val="00D0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57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94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ma_kulmztu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fizicheskij_izn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apitalmznij_remont/" TargetMode="External"/><Relationship Id="rId11" Type="http://schemas.openxmlformats.org/officeDocument/2006/relationships/hyperlink" Target="https://pandia.ru/text/category/denezhnie_sred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zatcii_kontro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5D85-3524-476B-931E-72BA10E8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82</cp:revision>
  <cp:lastPrinted>2020-04-22T02:47:00Z</cp:lastPrinted>
  <dcterms:created xsi:type="dcterms:W3CDTF">2019-03-29T01:06:00Z</dcterms:created>
  <dcterms:modified xsi:type="dcterms:W3CDTF">2020-04-22T02:48:00Z</dcterms:modified>
</cp:coreProperties>
</file>