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A" w:rsidRPr="00722803" w:rsidRDefault="00BB433A" w:rsidP="00BB433A">
      <w:pPr>
        <w:jc w:val="center"/>
        <w:rPr>
          <w:rFonts w:ascii="Times New Roman" w:hAnsi="Times New Roman"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BB433A" w:rsidRPr="00722803" w:rsidRDefault="00BB433A" w:rsidP="00BB433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ЕКТЕРИНОВСКОГО  СЕЛЬСКОГО ПОСЕЛЕНИЯ</w:t>
      </w:r>
    </w:p>
    <w:p w:rsidR="00BB433A" w:rsidRPr="00722803" w:rsidRDefault="00BB433A" w:rsidP="00BB433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B433A" w:rsidRPr="00722803" w:rsidRDefault="00BB433A" w:rsidP="00BB433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B433A" w:rsidRPr="00722803" w:rsidRDefault="00BB433A" w:rsidP="00BB433A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2280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BB433A" w:rsidRDefault="00BB433A" w:rsidP="00BB433A">
      <w:pPr>
        <w:shd w:val="clear" w:color="auto" w:fill="FFFFFF"/>
        <w:tabs>
          <w:tab w:val="left" w:pos="4037"/>
        </w:tabs>
        <w:spacing w:before="25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9 сентября </w:t>
      </w:r>
      <w:r w:rsidRPr="008A08A1">
        <w:rPr>
          <w:rFonts w:ascii="Times New Roman" w:hAnsi="Times New Roman"/>
          <w:iCs/>
          <w:color w:val="000000"/>
          <w:spacing w:val="-3"/>
          <w:sz w:val="26"/>
          <w:szCs w:val="26"/>
        </w:rPr>
        <w:t>2011 г.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                    </w:t>
      </w:r>
      <w:r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   </w:t>
      </w:r>
      <w:proofErr w:type="gramStart"/>
      <w:r w:rsidRPr="00722803">
        <w:rPr>
          <w:rFonts w:ascii="Times New Roman" w:hAnsi="Times New Roman"/>
          <w:iCs/>
          <w:color w:val="000000"/>
          <w:spacing w:val="2"/>
          <w:sz w:val="26"/>
          <w:szCs w:val="26"/>
        </w:rPr>
        <w:t>с</w:t>
      </w:r>
      <w:proofErr w:type="gramEnd"/>
      <w:r w:rsidRPr="00722803">
        <w:rPr>
          <w:rFonts w:ascii="Times New Roman" w:hAnsi="Times New Roman"/>
          <w:iCs/>
          <w:color w:val="000000"/>
          <w:spacing w:val="2"/>
          <w:sz w:val="26"/>
          <w:szCs w:val="26"/>
        </w:rPr>
        <w:t>. Екатериновк</w:t>
      </w:r>
      <w:r>
        <w:rPr>
          <w:rFonts w:ascii="Times New Roman" w:hAnsi="Times New Roman"/>
          <w:iCs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    </w:t>
      </w:r>
      <w:r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                  </w:t>
      </w:r>
      <w:r w:rsidRPr="0072280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8A08A1">
        <w:rPr>
          <w:rFonts w:ascii="Times New Roman" w:hAnsi="Times New Roman"/>
          <w:iCs/>
          <w:color w:val="000000"/>
          <w:sz w:val="26"/>
          <w:szCs w:val="26"/>
        </w:rPr>
        <w:t>№</w:t>
      </w:r>
      <w:r w:rsidR="00CE580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29</w:t>
      </w:r>
      <w:r w:rsidR="00361701">
        <w:rPr>
          <w:rFonts w:ascii="Times New Roman" w:hAnsi="Times New Roman"/>
          <w:iCs/>
          <w:color w:val="000000"/>
          <w:sz w:val="26"/>
          <w:szCs w:val="26"/>
        </w:rPr>
        <w:t>5</w:t>
      </w: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</w:p>
    <w:p w:rsidR="00BB433A" w:rsidRPr="00BB433A" w:rsidRDefault="00BB433A" w:rsidP="00BB433A">
      <w:pPr>
        <w:pStyle w:val="tex1st"/>
        <w:jc w:val="center"/>
      </w:pPr>
      <w:r w:rsidRPr="00722803">
        <w:rPr>
          <w:b/>
          <w:bCs/>
          <w:color w:val="000000"/>
        </w:rPr>
        <w:t xml:space="preserve">Об утверждении </w:t>
      </w:r>
      <w:r w:rsidRPr="00BB433A">
        <w:rPr>
          <w:rStyle w:val="a3"/>
        </w:rPr>
        <w:t>муниципальн</w:t>
      </w:r>
      <w:r>
        <w:rPr>
          <w:rStyle w:val="a3"/>
        </w:rPr>
        <w:t>ой</w:t>
      </w:r>
      <w:r w:rsidRPr="00BB433A">
        <w:rPr>
          <w:rStyle w:val="a3"/>
        </w:rPr>
        <w:t xml:space="preserve"> долгосрочн</w:t>
      </w:r>
      <w:r>
        <w:rPr>
          <w:rStyle w:val="a3"/>
        </w:rPr>
        <w:t>ой</w:t>
      </w:r>
      <w:r w:rsidRPr="00BB433A">
        <w:rPr>
          <w:rStyle w:val="a3"/>
        </w:rPr>
        <w:t xml:space="preserve"> целев</w:t>
      </w:r>
      <w:r>
        <w:rPr>
          <w:rStyle w:val="a3"/>
        </w:rPr>
        <w:t>ой</w:t>
      </w:r>
      <w:r w:rsidRPr="00BB433A">
        <w:rPr>
          <w:rStyle w:val="a3"/>
        </w:rPr>
        <w:t xml:space="preserve"> программ</w:t>
      </w:r>
      <w:r>
        <w:rPr>
          <w:rStyle w:val="a3"/>
        </w:rPr>
        <w:t>ы</w:t>
      </w:r>
      <w:r w:rsidRPr="00BB433A">
        <w:rPr>
          <w:rStyle w:val="a3"/>
        </w:rPr>
        <w:t xml:space="preserve"> «Строительство и модернизация объектов водоснабжения и водоотведения на территории Екатериновского сельского поселения Партизанского муниципального района на 2011-2015 годы» </w:t>
      </w:r>
    </w:p>
    <w:p w:rsidR="00BB433A" w:rsidRPr="00722803" w:rsidRDefault="00BB433A" w:rsidP="00BB433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280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Екатериновского 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сельского поселения, </w:t>
      </w:r>
    </w:p>
    <w:p w:rsidR="00BB433A" w:rsidRDefault="00BB433A" w:rsidP="00BB433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комитет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</w:t>
      </w:r>
    </w:p>
    <w:p w:rsidR="00BB433A" w:rsidRPr="00722803" w:rsidRDefault="00BB433A" w:rsidP="00BB43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433A" w:rsidRDefault="00BB433A" w:rsidP="00BB433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2803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B433A" w:rsidRPr="00BB433A" w:rsidRDefault="00BB433A" w:rsidP="00BB433A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22803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Style w:val="a3"/>
          <w:rFonts w:ascii="Times New Roman" w:hAnsi="Times New Roman"/>
          <w:b w:val="0"/>
          <w:sz w:val="24"/>
          <w:szCs w:val="24"/>
        </w:rPr>
        <w:t>м</w:t>
      </w:r>
      <w:r w:rsidRPr="00BB433A">
        <w:rPr>
          <w:rStyle w:val="a3"/>
          <w:rFonts w:ascii="Times New Roman" w:hAnsi="Times New Roman"/>
          <w:b w:val="0"/>
          <w:sz w:val="24"/>
          <w:szCs w:val="24"/>
        </w:rPr>
        <w:t>униципальн</w:t>
      </w:r>
      <w:r>
        <w:rPr>
          <w:rStyle w:val="a3"/>
          <w:rFonts w:ascii="Times New Roman" w:hAnsi="Times New Roman"/>
          <w:b w:val="0"/>
          <w:sz w:val="24"/>
          <w:szCs w:val="24"/>
        </w:rPr>
        <w:t>ую</w:t>
      </w:r>
      <w:r w:rsidRPr="00BB433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B433A">
        <w:rPr>
          <w:rStyle w:val="a3"/>
          <w:rFonts w:ascii="Times New Roman" w:hAnsi="Times New Roman"/>
          <w:b w:val="0"/>
          <w:sz w:val="24"/>
          <w:szCs w:val="24"/>
        </w:rPr>
        <w:t>долгосрочн</w:t>
      </w:r>
      <w:r>
        <w:rPr>
          <w:rStyle w:val="a3"/>
          <w:rFonts w:ascii="Times New Roman" w:hAnsi="Times New Roman"/>
          <w:b w:val="0"/>
          <w:sz w:val="24"/>
          <w:szCs w:val="24"/>
        </w:rPr>
        <w:t>ую</w:t>
      </w:r>
      <w:r w:rsidRPr="00BB433A">
        <w:rPr>
          <w:rStyle w:val="a3"/>
          <w:rFonts w:ascii="Times New Roman" w:hAnsi="Times New Roman"/>
          <w:b w:val="0"/>
          <w:sz w:val="24"/>
          <w:szCs w:val="24"/>
        </w:rPr>
        <w:t xml:space="preserve"> целев</w:t>
      </w:r>
      <w:r>
        <w:rPr>
          <w:rStyle w:val="a3"/>
          <w:rFonts w:ascii="Times New Roman" w:hAnsi="Times New Roman"/>
          <w:b w:val="0"/>
          <w:sz w:val="24"/>
          <w:szCs w:val="24"/>
        </w:rPr>
        <w:t>ую</w:t>
      </w:r>
      <w:r w:rsidRPr="00BB433A">
        <w:rPr>
          <w:rStyle w:val="a3"/>
          <w:rFonts w:ascii="Times New Roman" w:hAnsi="Times New Roman"/>
          <w:b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/>
          <w:b w:val="0"/>
          <w:sz w:val="24"/>
          <w:szCs w:val="24"/>
        </w:rPr>
        <w:t>у</w:t>
      </w:r>
      <w:r w:rsidRPr="00BB433A">
        <w:rPr>
          <w:rStyle w:val="a3"/>
          <w:rFonts w:ascii="Times New Roman" w:hAnsi="Times New Roman"/>
          <w:b w:val="0"/>
          <w:sz w:val="24"/>
          <w:szCs w:val="24"/>
        </w:rPr>
        <w:t xml:space="preserve"> «Строительство и модернизация объектов водоснабжения и водоотведения на территории Екатериновского сельского поселения Партизанского муниципального района на 2011-2015 годы» 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(прилагается). </w:t>
      </w:r>
    </w:p>
    <w:p w:rsidR="00BB433A" w:rsidRPr="00722803" w:rsidRDefault="00BB433A" w:rsidP="00BB433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22803">
        <w:rPr>
          <w:rFonts w:ascii="Times New Roman" w:hAnsi="Times New Roman"/>
          <w:color w:val="000000"/>
          <w:sz w:val="24"/>
          <w:szCs w:val="24"/>
        </w:rPr>
        <w:t>2. Опубликовать настоящее решение.</w:t>
      </w:r>
    </w:p>
    <w:p w:rsidR="00BB433A" w:rsidRPr="00722803" w:rsidRDefault="00BB433A" w:rsidP="00BB433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80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72280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2280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</w:t>
      </w:r>
      <w:r>
        <w:rPr>
          <w:rFonts w:ascii="Times New Roman" w:hAnsi="Times New Roman"/>
          <w:color w:val="000000"/>
          <w:sz w:val="24"/>
          <w:szCs w:val="24"/>
        </w:rPr>
        <w:t>го решения возложить на главу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Л.В. Хамхоева</w:t>
      </w:r>
    </w:p>
    <w:p w:rsidR="00BB433A" w:rsidRPr="00722803" w:rsidRDefault="00BB433A" w:rsidP="00BB433A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2280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муниципального комитета</w:t>
      </w: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Екатериновского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В.М</w:t>
      </w:r>
      <w:r w:rsidRPr="0072280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Бодрова</w:t>
      </w:r>
      <w:proofErr w:type="spellEnd"/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rPr>
          <w:rFonts w:ascii="Times New Roman" w:eastAsia="Times New Roman" w:hAnsi="Times New Roman"/>
          <w:sz w:val="24"/>
          <w:szCs w:val="24"/>
        </w:rPr>
      </w:pPr>
    </w:p>
    <w:p w:rsidR="00BB433A" w:rsidRPr="00722803" w:rsidRDefault="00BB433A" w:rsidP="00BB43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33A" w:rsidRPr="00722803" w:rsidRDefault="00BB433A" w:rsidP="00BB43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7F26" w:rsidRDefault="00B67F26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/>
    <w:p w:rsidR="001D3208" w:rsidRDefault="001D3208" w:rsidP="001D3208">
      <w:pPr>
        <w:jc w:val="right"/>
        <w:rPr>
          <w:rFonts w:ascii="Times New Roman" w:hAnsi="Times New Roman"/>
        </w:rPr>
      </w:pPr>
      <w:r w:rsidRPr="001D3208">
        <w:rPr>
          <w:rFonts w:ascii="Times New Roman" w:hAnsi="Times New Roman"/>
        </w:rPr>
        <w:lastRenderedPageBreak/>
        <w:t>Приложение</w:t>
      </w:r>
    </w:p>
    <w:p w:rsidR="001D3208" w:rsidRDefault="001D3208" w:rsidP="001D32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муниципального комитета</w:t>
      </w:r>
    </w:p>
    <w:p w:rsidR="001D3208" w:rsidRDefault="001D3208" w:rsidP="001D32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Екатериновского сельского поселения</w:t>
      </w:r>
    </w:p>
    <w:p w:rsidR="001D3208" w:rsidRPr="00CE5800" w:rsidRDefault="001D3208" w:rsidP="001D32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09.09.2011г.№29</w:t>
      </w:r>
      <w:r w:rsidR="00596C66" w:rsidRPr="00CE5800">
        <w:rPr>
          <w:rFonts w:ascii="Times New Roman" w:hAnsi="Times New Roman"/>
        </w:rPr>
        <w:t>5</w:t>
      </w:r>
    </w:p>
    <w:p w:rsidR="001D3208" w:rsidRDefault="001D3208" w:rsidP="001D3208">
      <w:pPr>
        <w:jc w:val="right"/>
        <w:rPr>
          <w:rFonts w:ascii="Times New Roman" w:hAnsi="Times New Roman"/>
        </w:rPr>
      </w:pPr>
    </w:p>
    <w:p w:rsidR="001D3208" w:rsidRDefault="001D3208" w:rsidP="001D3208">
      <w:pPr>
        <w:jc w:val="right"/>
        <w:rPr>
          <w:rFonts w:ascii="Times New Roman" w:hAnsi="Times New Roman"/>
        </w:rPr>
      </w:pPr>
    </w:p>
    <w:p w:rsidR="001D3208" w:rsidRPr="001D3208" w:rsidRDefault="001D3208" w:rsidP="001D3208">
      <w:pPr>
        <w:jc w:val="center"/>
        <w:rPr>
          <w:rFonts w:ascii="Times New Roman" w:hAnsi="Times New Roman"/>
        </w:rPr>
      </w:pPr>
      <w:r w:rsidRPr="001D3208">
        <w:rPr>
          <w:rFonts w:ascii="Times New Roman" w:hAnsi="Times New Roman"/>
          <w:b/>
          <w:bCs/>
        </w:rPr>
        <w:t>МУНИЦИПАЛЬНАЯ ДОЛГОСРОЧНАЯ ЦЕЛЕВАЯ ПРОГРАММА</w:t>
      </w:r>
    </w:p>
    <w:p w:rsidR="001D3208" w:rsidRPr="001D3208" w:rsidRDefault="001D3208" w:rsidP="001D3208">
      <w:pPr>
        <w:jc w:val="center"/>
        <w:rPr>
          <w:rFonts w:ascii="Times New Roman" w:hAnsi="Times New Roman"/>
          <w:b/>
          <w:bCs/>
        </w:rPr>
      </w:pPr>
      <w:r w:rsidRPr="001D3208">
        <w:rPr>
          <w:rFonts w:ascii="Times New Roman" w:hAnsi="Times New Roman"/>
          <w:b/>
          <w:bCs/>
        </w:rPr>
        <w:t>«СТРОИТЕЛЬСТВО И МОДЕРНИЗАЦИЯ ОБЪЕКТОВ</w:t>
      </w:r>
    </w:p>
    <w:p w:rsidR="001D3208" w:rsidRDefault="001D3208" w:rsidP="001D3208">
      <w:pPr>
        <w:jc w:val="center"/>
        <w:rPr>
          <w:rFonts w:ascii="Times New Roman" w:hAnsi="Times New Roman"/>
          <w:b/>
          <w:bCs/>
        </w:rPr>
      </w:pPr>
      <w:r w:rsidRPr="001D3208">
        <w:rPr>
          <w:rFonts w:ascii="Times New Roman" w:hAnsi="Times New Roman"/>
          <w:b/>
          <w:bCs/>
        </w:rPr>
        <w:t>ВОДОСНАБЖЕНИЯ И ВОДООТВЕДЕНИЯ НА ТЕРРИТОРИИ ЕКАТЕРИНОВСКОГО СЕЛЬСКОГО ПОСЕЛЕНИЯ ПАРТИЗАНСКОГО МУНИЦИПАЛЬНОГО РАЙОНА НА 2011-2015 ГОДЫ»</w:t>
      </w:r>
    </w:p>
    <w:p w:rsidR="001D3208" w:rsidRDefault="001D3208" w:rsidP="001D3208">
      <w:pPr>
        <w:jc w:val="center"/>
        <w:rPr>
          <w:rFonts w:ascii="Times New Roman" w:hAnsi="Times New Roman"/>
          <w:b/>
          <w:bCs/>
        </w:rPr>
      </w:pPr>
    </w:p>
    <w:p w:rsidR="001D3208" w:rsidRPr="001D3208" w:rsidRDefault="001D3208" w:rsidP="001D3208">
      <w:pPr>
        <w:jc w:val="center"/>
        <w:rPr>
          <w:rFonts w:ascii="Times New Roman" w:hAnsi="Times New Roman"/>
          <w:b/>
          <w:bCs/>
        </w:rPr>
      </w:pPr>
    </w:p>
    <w:p w:rsidR="001D3208" w:rsidRDefault="001D3208" w:rsidP="001D3208">
      <w:pPr>
        <w:jc w:val="center"/>
        <w:rPr>
          <w:rFonts w:ascii="Times New Roman" w:hAnsi="Times New Roman"/>
          <w:b/>
          <w:bCs/>
        </w:rPr>
      </w:pPr>
      <w:r w:rsidRPr="001D3208">
        <w:rPr>
          <w:rFonts w:ascii="Times New Roman" w:hAnsi="Times New Roman"/>
          <w:b/>
          <w:bCs/>
        </w:rPr>
        <w:t>ПАСПОРТ ПРОГРАММЫ</w:t>
      </w:r>
    </w:p>
    <w:p w:rsidR="001D3208" w:rsidRPr="001D3208" w:rsidRDefault="001D3208" w:rsidP="001D3208">
      <w:pPr>
        <w:jc w:val="center"/>
        <w:rPr>
          <w:rFonts w:ascii="Times New Roman" w:hAnsi="Times New Roman"/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560"/>
      </w:tblGrid>
      <w:tr w:rsidR="001D3208" w:rsidRPr="001D3208" w:rsidTr="00540ED6">
        <w:trPr>
          <w:trHeight w:val="1650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  <w:bCs/>
              </w:rPr>
              <w:t>Муниципальная</w:t>
            </w:r>
            <w:r w:rsidRPr="001D3208">
              <w:rPr>
                <w:rFonts w:ascii="Times New Roman" w:hAnsi="Times New Roman"/>
                <w:b/>
                <w:bCs/>
              </w:rPr>
              <w:t xml:space="preserve"> </w:t>
            </w:r>
            <w:r w:rsidRPr="001D3208">
              <w:rPr>
                <w:rFonts w:ascii="Times New Roman" w:hAnsi="Times New Roman"/>
                <w:bCs/>
              </w:rPr>
              <w:t xml:space="preserve">долгосрочная целевая программа «Строительство и модернизация объектов водоснабжения и водоотведения на территории Екатериновского сельского поселения Партизанского муниципального района на 2011-2015 годы» </w:t>
            </w:r>
          </w:p>
        </w:tc>
      </w:tr>
      <w:tr w:rsidR="001D3208" w:rsidRPr="001D3208" w:rsidTr="00540ED6">
        <w:trPr>
          <w:trHeight w:val="810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  <w:tr w:rsidR="001D3208" w:rsidRPr="001D3208" w:rsidTr="00540ED6">
        <w:trPr>
          <w:trHeight w:val="705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Администрация Екатериновского сельского поселения Партизанского муниципального района</w:t>
            </w:r>
          </w:p>
        </w:tc>
      </w:tr>
      <w:tr w:rsidR="001D3208" w:rsidRPr="001D3208" w:rsidTr="00540ED6">
        <w:trPr>
          <w:trHeight w:val="3045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Цель: обеспечение населения Екатериновского сельского поселения питьевой водой нормативного качества и в достаточном количестве в интересах удовлетворения жизненных потребностей и охраны здоровья граждан. Задачи: улучшение качества питьевой воды в соответствии с требованиями санитарных правил и норм; обеспечение надежности и бесперебойности работы систем питьевого водоснабжения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 и водоотведения.</w:t>
            </w:r>
          </w:p>
        </w:tc>
      </w:tr>
      <w:tr w:rsidR="001D3208" w:rsidRPr="001D3208" w:rsidTr="00540ED6">
        <w:trPr>
          <w:trHeight w:val="1620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Важнейшие целевые индикаторы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Целевыми индикаторы программы являются: снижение уровня износа объектов водоснабжения и водоотведения до 35 %; увеличение доли населения, потребляющего питьевую воду надлежащего качества, до 90 %; сокращение уровня потери воды в сетях централизованного водоснабжения, в том числе из-за аварий, до 10 %.</w:t>
            </w:r>
          </w:p>
        </w:tc>
      </w:tr>
      <w:tr w:rsidR="001D3208" w:rsidRPr="001D3208" w:rsidTr="00540ED6">
        <w:trPr>
          <w:trHeight w:val="885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2011-2015 годы.</w:t>
            </w:r>
          </w:p>
        </w:tc>
      </w:tr>
      <w:tr w:rsidR="001D3208" w:rsidRPr="001D3208" w:rsidTr="00540ED6">
        <w:trPr>
          <w:trHeight w:val="2715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lastRenderedPageBreak/>
              <w:t>Объем и источники финансирования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 xml:space="preserve">Финансирование Программы осуществляется за счет средств бюджета Екатериновского сельского поселения и составляет 10154,6 тыс. </w:t>
            </w:r>
            <w:proofErr w:type="spellStart"/>
            <w:r w:rsidRPr="001D3208">
              <w:rPr>
                <w:rFonts w:ascii="Times New Roman" w:hAnsi="Times New Roman"/>
              </w:rPr>
              <w:t>руб</w:t>
            </w:r>
            <w:proofErr w:type="spellEnd"/>
            <w:r w:rsidRPr="001D3208">
              <w:rPr>
                <w:rFonts w:ascii="Times New Roman" w:hAnsi="Times New Roman"/>
              </w:rPr>
              <w:t>, в том числе по годам: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2011 год – 90 тыс. руб.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2012 год – 30 тыс. руб.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2013 год – 400,5 тыс. руб.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2014 год – 213 тыс. руб.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2015 год – 305 тыс. руб.</w:t>
            </w:r>
          </w:p>
        </w:tc>
      </w:tr>
    </w:tbl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560"/>
      </w:tblGrid>
      <w:tr w:rsidR="001D3208" w:rsidRPr="001D3208" w:rsidTr="00540ED6">
        <w:trPr>
          <w:trHeight w:val="3420"/>
        </w:trPr>
        <w:tc>
          <w:tcPr>
            <w:tcW w:w="288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Основные ожидаемые конечные результаты от реализации Программы</w:t>
            </w:r>
          </w:p>
        </w:tc>
        <w:tc>
          <w:tcPr>
            <w:tcW w:w="75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D3208">
              <w:rPr>
                <w:rFonts w:ascii="Times New Roman" w:hAnsi="Times New Roman"/>
              </w:rPr>
              <w:t>В результате реализации мероприятий программы произойдет: снижение уровня аварийности на объектах водоснабжения и водоотведения края не менее чем на 20 %; снижение незапланированных издержек на осуществление аварийно-восстановительных и ремонтных работ; уменьшение себестоимости услуг водоснабжения и водоотведения предприятий жилищно-коммунального хозяйства не менее чем на 5 %; увеличение срока эксплуатации объектов водоснабжения и водоотведения района;</w:t>
            </w:r>
            <w:proofErr w:type="gramEnd"/>
            <w:r w:rsidRPr="001D3208">
              <w:rPr>
                <w:rFonts w:ascii="Times New Roman" w:hAnsi="Times New Roman"/>
              </w:rPr>
              <w:t xml:space="preserve"> повышение качества услуг, предоставляемых системами коммунальной инфраструктуры по водоснабжению и водоотведению; улучшение условий жизнедеятельности населения Екатериновского сельского поселения; улучшение экологической обстановки. Комплексный системный подход к решению вопросов обеспечения населения района качественными услугами водоснабжения и водоотведения приведет к повышению эффективности расходования бюджетных сре</w:t>
            </w:r>
            <w:proofErr w:type="gramStart"/>
            <w:r w:rsidRPr="001D3208">
              <w:rPr>
                <w:rFonts w:ascii="Times New Roman" w:hAnsi="Times New Roman"/>
              </w:rPr>
              <w:t>дств в д</w:t>
            </w:r>
            <w:proofErr w:type="gramEnd"/>
            <w:r w:rsidRPr="001D3208">
              <w:rPr>
                <w:rFonts w:ascii="Times New Roman" w:hAnsi="Times New Roman"/>
              </w:rPr>
              <w:t>анной сфере деятельности.</w:t>
            </w:r>
          </w:p>
        </w:tc>
      </w:tr>
    </w:tbl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D3208">
        <w:rPr>
          <w:rFonts w:ascii="Times New Roman" w:hAnsi="Times New Roman"/>
          <w:bCs/>
        </w:rPr>
        <w:t>Содержание проблемы и обоснование необходимости ее решения   программным методом</w:t>
      </w:r>
    </w:p>
    <w:p w:rsidR="001D3208" w:rsidRPr="001D3208" w:rsidRDefault="001D3208" w:rsidP="001D3208">
      <w:pPr>
        <w:jc w:val="both"/>
        <w:rPr>
          <w:rFonts w:ascii="Times New Roman" w:hAnsi="Times New Roman"/>
          <w:bCs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Доступность и качество питьевой воды определяют здоровье населения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и канализации приводит к массовым заболеваниям и распространению эпидемий.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По данным мониторинга качества питьевая вода в Приморском крае не отвечает гигиеническим нормативам по микробиологическим показателям и санитарно-химическим показателям. Сегодня каждый второй житель края вынужден использовать для питьевых целей воду ненадлежащего качества, не соответствующую по ряду показателей санитарно-гигиеническим требованиям. Пятая часть населения не имеет доступа к централизованным источникам водоснабжения и потребляет воду без необходимой предварительной очистки.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Основная причина низкого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Санитарно-химическое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 xml:space="preserve">Существует проблема вторичного загрязнения водопроводных сетей. Высокая степень износа сетей, многочисленные порывы на трубопроводах влияют на качество воды в </w:t>
      </w:r>
      <w:proofErr w:type="spellStart"/>
      <w:r w:rsidRPr="001D3208">
        <w:rPr>
          <w:rFonts w:ascii="Times New Roman" w:hAnsi="Times New Roman"/>
        </w:rPr>
        <w:t>бактериально-</w:t>
      </w:r>
      <w:r w:rsidRPr="001D3208">
        <w:rPr>
          <w:rFonts w:ascii="Times New Roman" w:hAnsi="Times New Roman"/>
        </w:rPr>
        <w:lastRenderedPageBreak/>
        <w:t>микробном</w:t>
      </w:r>
      <w:proofErr w:type="spellEnd"/>
      <w:r w:rsidRPr="001D3208">
        <w:rPr>
          <w:rFonts w:ascii="Times New Roman" w:hAnsi="Times New Roman"/>
        </w:rPr>
        <w:t xml:space="preserve"> отношении. Потребность в срочной замене ветхих водопроводных сетей составляет более 30 % (</w:t>
      </w:r>
      <w:smartTag w:uri="urn:schemas-microsoft-com:office:smarttags" w:element="metricconverter">
        <w:smartTagPr>
          <w:attr w:name="ProductID" w:val="1195 м"/>
        </w:smartTagPr>
        <w:r w:rsidRPr="001D3208">
          <w:rPr>
            <w:rFonts w:ascii="Times New Roman" w:hAnsi="Times New Roman"/>
          </w:rPr>
          <w:t>1195 м</w:t>
        </w:r>
      </w:smartTag>
      <w:r w:rsidRPr="001D3208">
        <w:rPr>
          <w:rFonts w:ascii="Times New Roman" w:hAnsi="Times New Roman"/>
        </w:rPr>
        <w:t>.) от общей протяженности. Ежегодно проводятся  работы по текущему ремонту сетей водоснабжения, что в целом это не решает проблему.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 xml:space="preserve">Нарушения санитарного режима в </w:t>
      </w:r>
      <w:proofErr w:type="spellStart"/>
      <w:r w:rsidRPr="001D3208">
        <w:rPr>
          <w:rFonts w:ascii="Times New Roman" w:hAnsi="Times New Roman"/>
        </w:rPr>
        <w:t>водоохранных</w:t>
      </w:r>
      <w:proofErr w:type="spellEnd"/>
      <w:r w:rsidRPr="001D3208">
        <w:rPr>
          <w:rFonts w:ascii="Times New Roman" w:hAnsi="Times New Roman"/>
        </w:rPr>
        <w:t xml:space="preserve"> зонах водозаборов, а в отдельных случаях эксплуатация водозаборов без соответствующих зон санитарной охраны являются основными причинами микробного загрязнения </w:t>
      </w:r>
      <w:proofErr w:type="spellStart"/>
      <w:r w:rsidRPr="001D3208">
        <w:rPr>
          <w:rFonts w:ascii="Times New Roman" w:hAnsi="Times New Roman"/>
        </w:rPr>
        <w:t>водоисточников</w:t>
      </w:r>
      <w:proofErr w:type="spellEnd"/>
      <w:r w:rsidRPr="001D3208">
        <w:rPr>
          <w:rFonts w:ascii="Times New Roman" w:hAnsi="Times New Roman"/>
        </w:rPr>
        <w:t>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 xml:space="preserve">Проблема питьевого водоснабжения приобретает кризисный характер как по причине выхода из строя водозаборов и систем подачи воды, так и по причине антропогенного загрязнения источников питьевого водоснабжения и ухудшения качества воды в </w:t>
      </w:r>
      <w:proofErr w:type="spellStart"/>
      <w:r w:rsidRPr="001D3208">
        <w:rPr>
          <w:rFonts w:ascii="Times New Roman" w:hAnsi="Times New Roman"/>
        </w:rPr>
        <w:t>водоисточниках</w:t>
      </w:r>
      <w:proofErr w:type="spellEnd"/>
      <w:r w:rsidRPr="001D3208">
        <w:rPr>
          <w:rFonts w:ascii="Times New Roman" w:hAnsi="Times New Roman"/>
        </w:rPr>
        <w:t>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В последние годы в связи с традиционно сложившимся остаточным принципом финансирования систем водоснабжения и ликвидацией единого механизма централизованного управления и финансирования проблема водоснабжения обострилась не только в Екатериновском сельском поселении районе, но и в целом по стране.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596C66">
        <w:rPr>
          <w:rFonts w:ascii="Times New Roman" w:hAnsi="Times New Roman"/>
        </w:rPr>
        <w:t xml:space="preserve">Согласно </w:t>
      </w:r>
      <w:hyperlink r:id="rId5" w:history="1">
        <w:r w:rsidRPr="00596C66">
          <w:rPr>
            <w:rStyle w:val="a4"/>
            <w:rFonts w:ascii="Times New Roman" w:hAnsi="Times New Roman"/>
            <w:color w:val="auto"/>
            <w:u w:val="none"/>
          </w:rPr>
          <w:t>Бюджетному кодексу</w:t>
        </w:r>
      </w:hyperlink>
      <w:r w:rsidRPr="001D3208">
        <w:rPr>
          <w:rFonts w:ascii="Times New Roman" w:hAnsi="Times New Roman"/>
        </w:rPr>
        <w:t xml:space="preserve"> Российской Федерации долгосрочной целевой программой, реализуемой за счет средств федерального бюджета и долгосрочной целевой программой, реализуемой за счет сре</w:t>
      </w:r>
      <w:proofErr w:type="gramStart"/>
      <w:r w:rsidRPr="001D3208">
        <w:rPr>
          <w:rFonts w:ascii="Times New Roman" w:hAnsi="Times New Roman"/>
        </w:rPr>
        <w:t>дств кр</w:t>
      </w:r>
      <w:proofErr w:type="gramEnd"/>
      <w:r w:rsidRPr="001D3208">
        <w:rPr>
          <w:rFonts w:ascii="Times New Roman" w:hAnsi="Times New Roman"/>
        </w:rPr>
        <w:t>аевого бюджета, может быть предусмотрено предоставление субсидий бюджету муниципального района на реализацию аналогичных долгосрочных целевых программ, реализуемых за счет средств бюджета муниципального района. То есть привлечение средств федерального бюджета в рамках федеральной и краевой целевой программы на реализацию мероприятий по обеспечению населения чистой питьевой водой возможно только при наличии аналогичной  долгосрочной целевой программы в муниципальном образовании.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Таким образом, обозначенная проблема соответствует приоритетным задачам социально-экономического развития Екатериновского сельского поселения и Российской Федерации в целом.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Данная проблема является многогранной и объемной. Мероприятия по обеспечению населения Екатериновского сельского поселения питьевой водой требуют комплексного решения и скоординированных действий, максимальная результативность которых может быть обеспечена только с применением программно-целевого метода.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Цели, задачи и сроки реализации Программы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Целью программы является обеспечение населения Екатериновского сельского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Для достижения поставленной цели предусматривается решение следующих задач: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-улучшение качества питьевой воды в соответствии с требованиями санитарных правил и норм;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-обеспечение надежности и бесперебойности работы систем питьевого водоснабжения и водоотведения;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-внедрение современных технологий, повышающих эффективность работы объектов жизнеобеспечения;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Реализация мероприятий программы осуществляется по следующим направлениям: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-мероприятия по мониторингу состояния систем водоснабжения и водоотведения;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-мероприятия по развитию инфраструктуры водоснабжения и водоотведения.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Сроки реализации мероприятий программы: 2011-2015 годы.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3.Объемы и источники финансирования Программы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Финансирование мероприятий программы осуществляется из средств бюджета Екатериновского сельского поселения Партизанского муниципального района. Объемы финансирования обеспечиваются в размерах, установленных бюджетом Екатериновского сельского поселения на соответствующий финансовый год.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Потребность в финансировании программы из средств  бюджета Екатериновского сельского поселения составляет 10154,6 тыс. рублей, в том числе по годам: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2011 год – 90  тыс. рублей;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2012 год – 30  тыс. рублей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2013 год – 400,5 тыс. рублей;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lastRenderedPageBreak/>
        <w:t>2014 год – 213 тыс. рублей;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2015 год – 305 тыс. рублей.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  <w:bCs/>
        </w:rPr>
        <w:t>Реализация мероприятий программы не сможет осуществиться в полном объеме за счет средств бюджета Екатериновского сельского поселения. Для реализации мероприятий программы требуется привлечение средств краевого и федерального бюджетов и внебюджетных источников</w:t>
      </w:r>
      <w:proofErr w:type="gramStart"/>
      <w:r w:rsidRPr="001D3208">
        <w:rPr>
          <w:rFonts w:ascii="Times New Roman" w:hAnsi="Times New Roman"/>
          <w:bCs/>
        </w:rPr>
        <w:t>.</w:t>
      </w:r>
      <w:r w:rsidRPr="001D3208">
        <w:rPr>
          <w:rFonts w:ascii="Times New Roman" w:hAnsi="Times New Roman"/>
        </w:rPr>
        <w:t>.</w:t>
      </w:r>
      <w:proofErr w:type="gramEnd"/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Привлечение средств федерального бюджета будет осуществляться в рамках государственной программы и федеральной целевой программы по вопросам обеспечения населения чистой питьевой водой.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Привлечение средств из краевого бюджета будет осуществляться в рамках краевой целевой программы по вопросам обеспечения населения чистой питьевой водой.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1D3208" w:rsidRPr="001D3208" w:rsidRDefault="001D3208" w:rsidP="001D3208">
      <w:pPr>
        <w:jc w:val="both"/>
        <w:rPr>
          <w:rFonts w:ascii="Times New Roman" w:hAnsi="Times New Roman"/>
          <w:bCs/>
        </w:rPr>
      </w:pPr>
      <w:r w:rsidRPr="001D3208">
        <w:rPr>
          <w:rFonts w:ascii="Times New Roman" w:hAnsi="Times New Roman"/>
        </w:rPr>
        <w:t xml:space="preserve">       </w:t>
      </w:r>
    </w:p>
    <w:p w:rsidR="001D3208" w:rsidRPr="001D3208" w:rsidRDefault="001D3208" w:rsidP="001D3208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D3208">
        <w:rPr>
          <w:rFonts w:ascii="Times New Roman" w:hAnsi="Times New Roman"/>
          <w:bCs/>
        </w:rPr>
        <w:t>Механизм реализации Программы</w:t>
      </w:r>
    </w:p>
    <w:p w:rsidR="001D3208" w:rsidRPr="001D3208" w:rsidRDefault="001D3208" w:rsidP="001D3208">
      <w:pPr>
        <w:jc w:val="both"/>
        <w:rPr>
          <w:rFonts w:ascii="Times New Roman" w:hAnsi="Times New Roman"/>
          <w:bCs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Текущее управление реализацией программы осуществляют муниципальный заказчик и разработчик программы.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Муниципальный заказчик и разработчик программы 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Муниципальный заказчик и разработчик программы в пределах установленных полномочий могут распределять объемы финансирования в разрезе мероприятий программы без внесения изменений в установленном порядке.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Муниципальный разработчик программы: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 ежегодно подготавливает  бюджетную заявку на финансирование мероприятий программы на очередной финансовый год и плановый период;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 получает и распределяет в установленном порядке бюджетные ассигнования по получателям бюджетных средств;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 осуществляет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 xml:space="preserve">-  осуществляет ведение отчетности о реализации программы 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- несет ответственность за качественную и своевременную реализацию мероприятий программы, обеспечивает эффективное использование средств  бюджета, выделяемых на их реализацию.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proofErr w:type="gramStart"/>
      <w:r w:rsidRPr="001D3208">
        <w:rPr>
          <w:rFonts w:ascii="Times New Roman" w:hAnsi="Times New Roman"/>
        </w:rPr>
        <w:t>Контроль за</w:t>
      </w:r>
      <w:proofErr w:type="gramEnd"/>
      <w:r w:rsidRPr="001D3208">
        <w:rPr>
          <w:rFonts w:ascii="Times New Roman" w:hAnsi="Times New Roman"/>
        </w:rPr>
        <w:t xml:space="preserve"> ходом выполнения мероприятий программы осуществляет муниципальный комитет Екатериновского сельского поселения.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D3208">
        <w:rPr>
          <w:rFonts w:ascii="Times New Roman" w:hAnsi="Times New Roman"/>
          <w:bCs/>
        </w:rPr>
        <w:t>Оценка социально-экономической и экологической эффективности Программы</w:t>
      </w:r>
    </w:p>
    <w:p w:rsidR="001D3208" w:rsidRPr="001D3208" w:rsidRDefault="001D3208" w:rsidP="001D3208">
      <w:pPr>
        <w:jc w:val="both"/>
        <w:rPr>
          <w:rFonts w:ascii="Times New Roman" w:hAnsi="Times New Roman"/>
          <w:bCs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Реализация мероприятий программы позволит получить социальный, экономический и экологический эффект.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Экономическая эффективность будет выражаться в следующем. Реализация мероприятий программы позволит ввести в эксплуатацию новые  и провести модернизацию уже действующих объектов водоснабжения и водоотведения, создать условия для бесперебойного функционирования данных объектов инфраструктуры, снизить аварийность систем коммунальной инфраструктуры и уменьшить уровень потерь воды. В результате сократятся расходы на содержание объектов водоснабжения и водоотведения; произойдет снижение издержек производства и себестоимости услуг водоснабжения и водоотведения предприятий жилищно-коммунального хозяйства.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 xml:space="preserve">Социальная эффективность будет выражаться в следующем. Реализация мероприятий программы позволит обеспечить качественное и бесперебойное предоставление населению услуг водоснабжения и водоотведения. Население района будет обеспечено питьевой водой нормативного качества и в достаточном количестве для удовлетворения жизненных потребностей и охраны здоровья граждан. 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lastRenderedPageBreak/>
        <w:t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водоотведения и низкого качества услуг, представляемых населению данными системами коммунальной инфраструктуры.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Реализация мероприятий программы не повлечет за собой негативных экологических последствий.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В результате реализации мероприятий программы произойдет: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снижение уровня аварийности на объектах водоснабжения и водоотведения района не менее чем на 20 %;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снижение незапланированных издержек на осуществление аварийно-восстановительных и ремонтных работ;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уменьшение себестоимости услуг водоснабжения и водоотведения предприятий жилищно-коммунального хозяйства не менее чем на 5 %;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увеличение срока эксплуатации объектов водоснабжения и водоотведения района;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повышение качества услуг, предоставляемых системами коммунальной инфраструктуры по водоснабжению и водоотведению;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улучшение условий жизнедеятельности населения Екатериновского сельского поселения;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улучшение экологической обстановки.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Комплексный системный подход к решению вопросов обеспечения населения Екатериновского поселения качественными услугами водоснабжения и водоотведения приведет к повышению эффективности расходования бюджетных сре</w:t>
      </w:r>
      <w:proofErr w:type="gramStart"/>
      <w:r w:rsidRPr="001D3208">
        <w:rPr>
          <w:rFonts w:ascii="Times New Roman" w:hAnsi="Times New Roman"/>
        </w:rPr>
        <w:t>дств в д</w:t>
      </w:r>
      <w:proofErr w:type="gramEnd"/>
      <w:r w:rsidRPr="001D3208">
        <w:rPr>
          <w:rFonts w:ascii="Times New Roman" w:hAnsi="Times New Roman"/>
        </w:rPr>
        <w:t>анной сфере деятельности.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D3208">
        <w:rPr>
          <w:rFonts w:ascii="Times New Roman" w:hAnsi="Times New Roman"/>
        </w:rPr>
        <w:t>Перечень мероприятий Программы.</w:t>
      </w: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224"/>
        <w:gridCol w:w="1224"/>
        <w:gridCol w:w="1224"/>
        <w:gridCol w:w="1224"/>
        <w:gridCol w:w="1224"/>
      </w:tblGrid>
      <w:tr w:rsidR="001D3208" w:rsidRPr="001D3208" w:rsidTr="00540ED6">
        <w:trPr>
          <w:trHeight w:val="525"/>
        </w:trPr>
        <w:tc>
          <w:tcPr>
            <w:tcW w:w="3960" w:type="dxa"/>
            <w:vMerge w:val="restart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Наименование мероприятия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5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 xml:space="preserve">Ориентировочный объем финансирования </w:t>
            </w:r>
          </w:p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(тыс. руб.)</w:t>
            </w:r>
          </w:p>
        </w:tc>
      </w:tr>
      <w:tr w:rsidR="001D3208" w:rsidRPr="001D3208" w:rsidTr="00540ED6">
        <w:trPr>
          <w:trHeight w:val="780"/>
        </w:trPr>
        <w:tc>
          <w:tcPr>
            <w:tcW w:w="3960" w:type="dxa"/>
            <w:vMerge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2011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2012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2013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2014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2015</w:t>
            </w:r>
          </w:p>
        </w:tc>
      </w:tr>
      <w:tr w:rsidR="001D3208" w:rsidRPr="001D3208" w:rsidTr="00540ED6">
        <w:trPr>
          <w:trHeight w:val="1245"/>
        </w:trPr>
        <w:tc>
          <w:tcPr>
            <w:tcW w:w="39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Устройство охранных зон трех скважин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  <w:lang w:val="en-US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  <w:lang w:val="en-US"/>
              </w:rPr>
              <w:t>213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305</w:t>
            </w:r>
          </w:p>
        </w:tc>
      </w:tr>
      <w:tr w:rsidR="001D3208" w:rsidRPr="001D3208" w:rsidTr="00540ED6">
        <w:trPr>
          <w:trHeight w:val="885"/>
        </w:trPr>
        <w:tc>
          <w:tcPr>
            <w:tcW w:w="39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D3208">
              <w:rPr>
                <w:rFonts w:ascii="Times New Roman" w:hAnsi="Times New Roman"/>
              </w:rPr>
              <w:t>Реконструкция скважины в с. Екатериновка с установкой обеззараживающего оборудования</w:t>
            </w:r>
            <w:proofErr w:type="gramEnd"/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400,5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</w:tr>
      <w:tr w:rsidR="001D3208" w:rsidRPr="001D3208" w:rsidTr="00540ED6">
        <w:trPr>
          <w:trHeight w:val="885"/>
        </w:trPr>
        <w:tc>
          <w:tcPr>
            <w:tcW w:w="39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Разработка проектов зон санитарной охраны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90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</w:tr>
      <w:tr w:rsidR="001D3208" w:rsidRPr="001D3208" w:rsidTr="00540ED6">
        <w:trPr>
          <w:trHeight w:val="1065"/>
        </w:trPr>
        <w:tc>
          <w:tcPr>
            <w:tcW w:w="39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Санитарно-эпидемиологическое заключение по проектам ЗСО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30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-</w:t>
            </w:r>
          </w:p>
        </w:tc>
      </w:tr>
      <w:tr w:rsidR="001D3208" w:rsidRPr="001D3208" w:rsidTr="00540ED6">
        <w:trPr>
          <w:trHeight w:val="525"/>
        </w:trPr>
        <w:tc>
          <w:tcPr>
            <w:tcW w:w="3960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  <w:b/>
              </w:rPr>
            </w:pPr>
            <w:r w:rsidRPr="001D32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90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30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400,5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213</w:t>
            </w:r>
          </w:p>
        </w:tc>
        <w:tc>
          <w:tcPr>
            <w:tcW w:w="1224" w:type="dxa"/>
          </w:tcPr>
          <w:p w:rsidR="001D3208" w:rsidRPr="001D3208" w:rsidRDefault="001D3208" w:rsidP="001D3208">
            <w:pPr>
              <w:jc w:val="both"/>
              <w:rPr>
                <w:rFonts w:ascii="Times New Roman" w:hAnsi="Times New Roman"/>
              </w:rPr>
            </w:pPr>
            <w:r w:rsidRPr="001D3208">
              <w:rPr>
                <w:rFonts w:ascii="Times New Roman" w:hAnsi="Times New Roman"/>
              </w:rPr>
              <w:t>305</w:t>
            </w:r>
          </w:p>
        </w:tc>
      </w:tr>
    </w:tbl>
    <w:p w:rsidR="001D3208" w:rsidRPr="001D3208" w:rsidRDefault="001D3208" w:rsidP="001D3208">
      <w:pPr>
        <w:jc w:val="both"/>
        <w:rPr>
          <w:rFonts w:ascii="Times New Roman" w:hAnsi="Times New Roman"/>
        </w:rPr>
      </w:pPr>
    </w:p>
    <w:p w:rsidR="001D3208" w:rsidRPr="001D3208" w:rsidRDefault="001D3208" w:rsidP="001D3208">
      <w:pPr>
        <w:ind w:left="10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</w:t>
      </w:r>
      <w:proofErr w:type="spellEnd"/>
    </w:p>
    <w:sectPr w:rsidR="001D3208" w:rsidRPr="001D3208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153"/>
    <w:multiLevelType w:val="hybridMultilevel"/>
    <w:tmpl w:val="9578B2CE"/>
    <w:lvl w:ilvl="0" w:tplc="0EA4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33A"/>
    <w:rsid w:val="000B316F"/>
    <w:rsid w:val="001D3208"/>
    <w:rsid w:val="00245009"/>
    <w:rsid w:val="00361701"/>
    <w:rsid w:val="004A3A5D"/>
    <w:rsid w:val="00596C66"/>
    <w:rsid w:val="00B67F26"/>
    <w:rsid w:val="00BB433A"/>
    <w:rsid w:val="00CE5800"/>
    <w:rsid w:val="00DC7801"/>
    <w:rsid w:val="00DE225A"/>
    <w:rsid w:val="00E93CD3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BB4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BB433A"/>
    <w:rPr>
      <w:b/>
      <w:bCs/>
    </w:rPr>
  </w:style>
  <w:style w:type="character" w:styleId="a4">
    <w:name w:val="Hyperlink"/>
    <w:basedOn w:val="a0"/>
    <w:uiPriority w:val="99"/>
    <w:unhideWhenUsed/>
    <w:rsid w:val="001D32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C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2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2296</Words>
  <Characters>13088</Characters>
  <Application>Microsoft Office Word</Application>
  <DocSecurity>0</DocSecurity>
  <Lines>109</Lines>
  <Paragraphs>30</Paragraphs>
  <ScaleCrop>false</ScaleCrop>
  <Company>Microsoft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2011-10-20T08:03:00Z</cp:lastPrinted>
  <dcterms:created xsi:type="dcterms:W3CDTF">2011-09-23T06:55:00Z</dcterms:created>
  <dcterms:modified xsi:type="dcterms:W3CDTF">2013-06-27T12:50:00Z</dcterms:modified>
</cp:coreProperties>
</file>