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D3498D" w:rsidP="009C1FDF">
      <w:pPr>
        <w:widowControl w:val="0"/>
        <w:autoSpaceDE w:val="0"/>
        <w:autoSpaceDN w:val="0"/>
        <w:adjustRightInd w:val="0"/>
        <w:jc w:val="both"/>
        <w:rPr>
          <w:sz w:val="28"/>
          <w:szCs w:val="28"/>
        </w:rPr>
      </w:pPr>
      <w:r>
        <w:rPr>
          <w:sz w:val="28"/>
          <w:szCs w:val="28"/>
        </w:rPr>
        <w:t>04</w:t>
      </w:r>
      <w:r w:rsidR="00F90064" w:rsidRPr="00BC424F">
        <w:rPr>
          <w:sz w:val="28"/>
          <w:szCs w:val="28"/>
        </w:rPr>
        <w:t>.</w:t>
      </w:r>
      <w:r w:rsidR="00DE7643">
        <w:rPr>
          <w:sz w:val="28"/>
          <w:szCs w:val="28"/>
        </w:rPr>
        <w:t>0</w:t>
      </w:r>
      <w:r>
        <w:rPr>
          <w:sz w:val="28"/>
          <w:szCs w:val="28"/>
        </w:rPr>
        <w:t>3</w:t>
      </w:r>
      <w:r w:rsidR="00B102C8">
        <w:rPr>
          <w:sz w:val="28"/>
          <w:szCs w:val="28"/>
        </w:rPr>
        <w:t>.2021</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с.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29</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 xml:space="preserve">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w:t>
      </w:r>
      <w:r w:rsidR="00E169DD">
        <w:rPr>
          <w:sz w:val="28"/>
          <w:szCs w:val="28"/>
        </w:rPr>
        <w:br/>
      </w:r>
      <w:r w:rsidR="00966FCA" w:rsidRPr="00966FCA">
        <w:rPr>
          <w:sz w:val="28"/>
          <w:szCs w:val="28"/>
        </w:rPr>
        <w:t xml:space="preserve">№ 691/пр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E07C60" w:rsidRPr="00966FCA">
        <w:rPr>
          <w:sz w:val="28"/>
          <w:szCs w:val="28"/>
        </w:rPr>
        <w:t xml:space="preserve"> </w:t>
      </w:r>
      <w:r w:rsidR="00BA0086">
        <w:rPr>
          <w:sz w:val="28"/>
          <w:szCs w:val="28"/>
        </w:rPr>
        <w:t xml:space="preserve">Паспорт муниципальной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w:t>
      </w:r>
      <w:r w:rsidR="00C6167C">
        <w:rPr>
          <w:sz w:val="28"/>
          <w:szCs w:val="28"/>
        </w:rPr>
        <w:t xml:space="preserve">на 2019 – 2027 годы» </w:t>
      </w:r>
      <w:r w:rsidR="00E07C60" w:rsidRPr="00966FCA">
        <w:rPr>
          <w:sz w:val="28"/>
          <w:szCs w:val="28"/>
        </w:rPr>
        <w:t>м</w:t>
      </w:r>
      <w:r w:rsidR="00C6167C">
        <w:rPr>
          <w:sz w:val="28"/>
          <w:szCs w:val="28"/>
        </w:rPr>
        <w:t>униципальной программы</w:t>
      </w:r>
      <w:r w:rsidRPr="00966FCA">
        <w:rPr>
          <w:sz w:val="28"/>
          <w:szCs w:val="28"/>
        </w:rPr>
        <w:t xml:space="preserve">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922F56">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Контроль за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591055" w:rsidRDefault="00591055" w:rsidP="00F90064">
      <w:pPr>
        <w:tabs>
          <w:tab w:val="left" w:pos="0"/>
        </w:tabs>
        <w:spacing w:line="360" w:lineRule="auto"/>
        <w:ind w:firstLine="709"/>
        <w:rPr>
          <w:sz w:val="28"/>
          <w:szCs w:val="28"/>
        </w:rPr>
      </w:pP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591055"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администрации                                                              </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591055">
        <w:rPr>
          <w:sz w:val="28"/>
          <w:szCs w:val="28"/>
        </w:rPr>
        <w:t xml:space="preserve">                    О.И.Денисов</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9C1FDF" w:rsidRPr="002D686E" w:rsidRDefault="009C1FDF" w:rsidP="009C1FDF">
      <w:pPr>
        <w:spacing w:line="100" w:lineRule="atLeast"/>
        <w:jc w:val="center"/>
        <w:rPr>
          <w:b/>
          <w:color w:val="000000"/>
        </w:rPr>
      </w:pPr>
      <w:r w:rsidRPr="002D686E">
        <w:rPr>
          <w:b/>
          <w:color w:val="000000"/>
        </w:rPr>
        <w:lastRenderedPageBreak/>
        <w:t>П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186F1A" w:rsidRDefault="003214B0" w:rsidP="00186F1A">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r w:rsidR="00F90064">
              <w:rPr>
                <w:color w:val="000000"/>
              </w:rPr>
              <w:t xml:space="preserve"> </w:t>
            </w:r>
            <w:r>
              <w:rPr>
                <w:color w:val="000000"/>
              </w:rPr>
              <w:t xml:space="preserve">Подпрограмма </w:t>
            </w:r>
            <w:r w:rsidR="00D11A23">
              <w:rPr>
                <w:color w:val="000000"/>
              </w:rPr>
              <w:t xml:space="preserve">№1 </w:t>
            </w:r>
            <w:r>
              <w:rPr>
                <w:color w:val="000000"/>
              </w:rPr>
              <w:t xml:space="preserve">« Благоустройство территорий детских и спортивных площадок на территории Екатериновского сельского поселения </w:t>
            </w:r>
            <w:r w:rsidR="00F90064">
              <w:rPr>
                <w:color w:val="000000"/>
              </w:rPr>
              <w:t xml:space="preserve">на 2019-2027 </w:t>
            </w:r>
            <w:r>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общественного контроля</w:t>
            </w:r>
            <w:r w:rsidR="009C1FDF" w:rsidRPr="002D686E">
              <w:rPr>
                <w:color w:val="000000"/>
              </w:rPr>
              <w:t xml:space="preserve"> за ходом реализации Программы.</w:t>
            </w:r>
          </w:p>
          <w:p w:rsidR="009C1FDF" w:rsidRPr="002D686E" w:rsidRDefault="003214B0" w:rsidP="003214B0">
            <w:pPr>
              <w:rPr>
                <w:rFonts w:ascii="Helvetica" w:hAnsi="Helvetica"/>
                <w:color w:val="616161"/>
              </w:rPr>
            </w:pPr>
            <w:r>
              <w:rPr>
                <w:color w:val="000000"/>
              </w:rPr>
              <w:t xml:space="preserve">-формирование(обустройство)детских и спортивных </w:t>
            </w:r>
            <w:r>
              <w:rPr>
                <w:color w:val="000000"/>
              </w:rPr>
              <w:lastRenderedPageBreak/>
              <w:t>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тыс. руб,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тыс.руб.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тыс. руб,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тыс. руб,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200,00 тыс.руб</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r w:rsidR="005B3049" w:rsidRPr="004F3126">
              <w:t>ед,</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r w:rsidRPr="004F3126">
              <w:t>ед</w:t>
            </w:r>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r>
        <w:t>- придомовых территорий 6</w:t>
      </w:r>
      <w:r w:rsidR="005B1806" w:rsidRPr="008854A7">
        <w:t>–ти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Стрельникова, Светлая, ул. Верхняя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«Чандолаз», Женского совета Екатериновского сельского поселения, Общественного совета Екатериновского сельского поселения.</w:t>
      </w:r>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оборудование роллердрома;</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Организация общественного контроля за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Адресный перечень многоквартирных домов, дворовые территории которых были отобраны</w:t>
      </w:r>
      <w:r w:rsidR="008854A7">
        <w:rPr>
          <w:color w:val="000000"/>
        </w:rPr>
        <w:t xml:space="preserve"> для благоустройства в 2018-2027</w:t>
      </w:r>
      <w:r w:rsidRPr="008854A7">
        <w:rPr>
          <w:color w:val="000000"/>
        </w:rPr>
        <w:t xml:space="preserve"> годах представлен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r w:rsidRPr="005173E1">
              <w:rPr>
                <w:sz w:val="22"/>
                <w:szCs w:val="22"/>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п/п</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К</w:t>
      </w:r>
      <w:r w:rsidR="00813BC8" w:rsidRPr="005173E1">
        <w:rPr>
          <w:b/>
        </w:rPr>
        <w:t xml:space="preserve">онтроль за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1. Контроль за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с.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r w:rsidR="003D389A" w:rsidRPr="00E857A3">
              <w:rPr>
                <w:color w:val="000000"/>
                <w:sz w:val="20"/>
                <w:szCs w:val="20"/>
              </w:rPr>
              <w:t>Введен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А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r w:rsidRPr="00E857A3">
              <w:rPr>
                <w:color w:val="000000"/>
                <w:sz w:val="20"/>
                <w:szCs w:val="20"/>
              </w:rPr>
              <w:t>Введен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A95DC7">
            <w:pPr>
              <w:autoSpaceDE w:val="0"/>
              <w:autoSpaceDN w:val="0"/>
              <w:adjustRightInd w:val="0"/>
              <w:rPr>
                <w:rFonts w:eastAsia="Calibri"/>
                <w:color w:val="000000"/>
              </w:rPr>
            </w:pPr>
            <w:r w:rsidRPr="00971AF1">
              <w:rPr>
                <w:sz w:val="22"/>
                <w:szCs w:val="22"/>
              </w:rPr>
              <w:t xml:space="preserve">Сквер по ул. </w:t>
            </w:r>
            <w:r w:rsidR="00A95DC7" w:rsidRPr="00A95DC7">
              <w:rPr>
                <w:sz w:val="22"/>
                <w:szCs w:val="22"/>
              </w:rPr>
              <w:t>Молодежная</w:t>
            </w:r>
            <w:r w:rsidRPr="00A95DC7">
              <w:rPr>
                <w:sz w:val="22"/>
                <w:szCs w:val="22"/>
              </w:rPr>
              <w:t xml:space="preserve"> с</w:t>
            </w:r>
            <w:r w:rsidR="00A95DC7" w:rsidRPr="00A95DC7">
              <w:rPr>
                <w:sz w:val="22"/>
                <w:szCs w:val="22"/>
              </w:rPr>
              <w:t>.</w:t>
            </w:r>
            <w:r w:rsidRPr="00971AF1">
              <w:rPr>
                <w:sz w:val="22"/>
                <w:szCs w:val="22"/>
              </w:rPr>
              <w:t>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мост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sidRPr="00A95DC7">
              <w:rPr>
                <w:rFonts w:eastAsia="Calibri"/>
                <w:color w:val="000000"/>
                <w:sz w:val="22"/>
                <w:szCs w:val="22"/>
              </w:rPr>
              <w:t>202</w:t>
            </w:r>
            <w:r w:rsidR="00A95DC7">
              <w:rPr>
                <w:rFonts w:eastAsia="Calibri"/>
                <w:color w:val="000000"/>
                <w:sz w:val="22"/>
                <w:szCs w:val="22"/>
              </w:rPr>
              <w:t>0</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арт-площадкой, стык</w:t>
            </w:r>
            <w:r w:rsidRPr="00971AF1">
              <w:rPr>
                <w:rFonts w:eastAsia="Calibri"/>
                <w:color w:val="000000"/>
                <w:sz w:val="22"/>
                <w:szCs w:val="22"/>
              </w:rPr>
              <w:t xml:space="preserve"> </w:t>
            </w:r>
            <w:r w:rsidR="00E62798"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r w:rsidRPr="005173E1">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ул.Лазо,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с.Екатериновка,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"Юликон" с.Екатериновка,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с.Екатериновка,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"Наргиз" с.Екатериновка,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с.Екатериновка,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с.Екатериновка,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 xml:space="preserve">с.Екатериновка,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с.Екатериновка,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 xml:space="preserve">с.Екатериновка,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"Эльком" с.Екатериновка,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 xml:space="preserve">с.Екатериновка,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Мазуров Александр  Дмитриевич с.Екатериновка,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 xml:space="preserve">с.Екатериновка,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Каишян  Ольга  Геннадьевна с.Екатериновка,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 xml:space="preserve">с.Екатериновка,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Закусочная «Самира» с.Екатериновка,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с.Екатериновка,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r w:rsidRPr="00F13CB5">
              <w:rPr>
                <w:rFonts w:eastAsiaTheme="minorHAnsi"/>
                <w:sz w:val="22"/>
                <w:szCs w:val="22"/>
                <w:lang w:eastAsia="en-US"/>
              </w:rPr>
              <w:t>с.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придомовой</w:t>
            </w:r>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r w:rsidRPr="00F13CB5">
              <w:rPr>
                <w:rFonts w:eastAsiaTheme="minorHAnsi"/>
                <w:color w:val="000000"/>
                <w:sz w:val="22"/>
                <w:szCs w:val="22"/>
                <w:lang w:eastAsia="en-US"/>
              </w:rPr>
              <w:t>с.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sidR="00E70735">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4F71D6" w:rsidRPr="00F13CB5" w:rsidRDefault="004F71D6" w:rsidP="00E70735">
            <w:pPr>
              <w:spacing w:after="160"/>
              <w:rPr>
                <w:rFonts w:eastAsiaTheme="minorHAnsi"/>
                <w:color w:val="000000"/>
                <w:lang w:eastAsia="en-US"/>
              </w:rPr>
            </w:pPr>
            <w:r w:rsidRPr="00F13CB5">
              <w:rPr>
                <w:rFonts w:eastAsiaTheme="minorHAnsi"/>
                <w:color w:val="000000"/>
                <w:sz w:val="22"/>
                <w:szCs w:val="22"/>
                <w:lang w:eastAsia="en-US"/>
              </w:rPr>
              <w:t xml:space="preserve">с. Екатериновка ул. </w:t>
            </w:r>
            <w:r w:rsidR="00E70735">
              <w:rPr>
                <w:rFonts w:eastAsiaTheme="minorHAnsi"/>
                <w:color w:val="000000"/>
                <w:sz w:val="22"/>
                <w:szCs w:val="22"/>
                <w:lang w:eastAsia="en-US"/>
              </w:rPr>
              <w:t>Молодежная</w:t>
            </w:r>
            <w:r w:rsidRPr="00F13CB5">
              <w:rPr>
                <w:rFonts w:eastAsiaTheme="minorHAnsi"/>
                <w:color w:val="000000"/>
                <w:sz w:val="22"/>
                <w:szCs w:val="22"/>
                <w:lang w:eastAsia="en-US"/>
              </w:rPr>
              <w:t xml:space="preserve">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Детская площадка ул. Верхняя с.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с.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2.4.Детская площадка ул. Стрельникова с.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2.5.Детская площадка ул. Строительная с.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"Berna"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7B68C9"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дизайн-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дизайн-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2.   Разработка и реализация планов комплексного благоустройства, организация  общественного контроля за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r>
        <w:rPr>
          <w:b/>
          <w:sz w:val="26"/>
          <w:szCs w:val="26"/>
        </w:rPr>
        <w:t xml:space="preserve">П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922F56">
              <w:t>19014,06</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19546F">
              <w:t>3200,00</w:t>
            </w:r>
            <w:r w:rsidRPr="005173E1">
              <w:t xml:space="preserve"> тыс. рублей;</w:t>
            </w:r>
          </w:p>
          <w:p w:rsidR="006C3328" w:rsidRPr="005173E1" w:rsidRDefault="006C3328">
            <w:r w:rsidRPr="005173E1">
              <w:t xml:space="preserve">2022 год – </w:t>
            </w:r>
            <w:r w:rsidR="0019546F">
              <w:t>3693,91</w:t>
            </w:r>
            <w:r w:rsidRPr="005173E1">
              <w:t xml:space="preserve"> тыс. рублей;</w:t>
            </w:r>
          </w:p>
          <w:p w:rsidR="006C3328" w:rsidRPr="005173E1" w:rsidRDefault="006C3328">
            <w:r w:rsidRPr="005173E1">
              <w:t xml:space="preserve">2023 год – </w:t>
            </w:r>
            <w:r w:rsidR="0019546F">
              <w:t>3693,91</w:t>
            </w:r>
            <w:r w:rsidRPr="005173E1">
              <w:t xml:space="preserve">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922F56">
              <w:t>18258,25</w:t>
            </w:r>
            <w:r w:rsidR="00B70ED6" w:rsidRPr="005173E1">
              <w:t xml:space="preserve">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 xml:space="preserve">2021 год – </w:t>
            </w:r>
            <w:r w:rsidR="0019546F">
              <w:t>3000,0</w:t>
            </w:r>
            <w:r w:rsidRPr="005173E1">
              <w:t xml:space="preserve"> тыс. рублей;</w:t>
            </w:r>
          </w:p>
          <w:p w:rsidR="006C3328" w:rsidRPr="00B70ED6" w:rsidRDefault="006C3328">
            <w:r w:rsidRPr="005173E1">
              <w:t xml:space="preserve">2022 год – </w:t>
            </w:r>
            <w:r w:rsidR="0019546F">
              <w:t>3493,91</w:t>
            </w:r>
            <w:r w:rsidRPr="005173E1">
              <w:t xml:space="preserve"> тыс. рублей;</w:t>
            </w:r>
          </w:p>
          <w:p w:rsidR="006C3328" w:rsidRPr="00B70ED6" w:rsidRDefault="006C3328">
            <w:r w:rsidRPr="00B70ED6">
              <w:t xml:space="preserve">2023 год – </w:t>
            </w:r>
            <w:r w:rsidR="0019546F">
              <w:t>3493,91</w:t>
            </w:r>
            <w:r w:rsidRPr="00B70ED6">
              <w:t xml:space="preserve">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w:t>
            </w:r>
            <w:r w:rsidR="00922F56">
              <w:t>755,81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19546F">
              <w:t>200,00</w:t>
            </w:r>
            <w:r w:rsidRPr="00B70ED6">
              <w:t xml:space="preserve"> тыс. рублей;</w:t>
            </w:r>
          </w:p>
          <w:p w:rsidR="006C3328" w:rsidRPr="00B70ED6" w:rsidRDefault="006C3328">
            <w:r w:rsidRPr="00B70ED6">
              <w:t xml:space="preserve">2022 год – </w:t>
            </w:r>
            <w:r w:rsidR="0019546F">
              <w:t>200,00</w:t>
            </w:r>
            <w:r w:rsidRPr="00B70ED6">
              <w:t xml:space="preserve"> тыс. рублей;</w:t>
            </w:r>
          </w:p>
          <w:p w:rsidR="006C3328" w:rsidRPr="00B70ED6" w:rsidRDefault="006C3328">
            <w:r w:rsidRPr="00B70ED6">
              <w:t xml:space="preserve">2023 год – </w:t>
            </w:r>
            <w:r w:rsidR="0019546F">
              <w:t>200,00</w:t>
            </w:r>
            <w:r w:rsidRPr="00B70ED6">
              <w:t xml:space="preserve">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на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r>
              <w:t>п/п</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r>
              <w:t xml:space="preserve">с. Голубовка,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r>
              <w:t xml:space="preserve">с. Новая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с.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с.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591055">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Срок выполнения работ</w:t>
            </w:r>
          </w:p>
        </w:tc>
      </w:tr>
      <w:tr w:rsidR="00FC69CE" w:rsidRPr="004F07DB" w:rsidTr="00591055">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Общественные территории</w:t>
            </w:r>
          </w:p>
        </w:tc>
      </w:tr>
      <w:tr w:rsidR="00FC69CE" w:rsidRPr="004F07DB" w:rsidTr="00591055">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Pr>
                <w:color w:val="000000"/>
                <w:sz w:val="20"/>
                <w:szCs w:val="20"/>
              </w:rPr>
              <w:t>2021</w:t>
            </w:r>
          </w:p>
        </w:tc>
      </w:tr>
    </w:tbl>
    <w:p w:rsidR="009C1FDF" w:rsidRPr="002D686E" w:rsidRDefault="009C1FDF" w:rsidP="009C1FDF"/>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CA" w:rsidRDefault="001F5ACA" w:rsidP="00BE005A">
      <w:r>
        <w:separator/>
      </w:r>
    </w:p>
  </w:endnote>
  <w:endnote w:type="continuationSeparator" w:id="1">
    <w:p w:rsidR="001F5ACA" w:rsidRDefault="001F5ACA"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CA" w:rsidRDefault="001F5ACA" w:rsidP="00BE005A">
      <w:r>
        <w:separator/>
      </w:r>
    </w:p>
  </w:footnote>
  <w:footnote w:type="continuationSeparator" w:id="1">
    <w:p w:rsidR="001F5ACA" w:rsidRDefault="001F5ACA"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59EE"/>
    <w:rsid w:val="00012803"/>
    <w:rsid w:val="000233D6"/>
    <w:rsid w:val="000726F5"/>
    <w:rsid w:val="000C4EBE"/>
    <w:rsid w:val="000D7154"/>
    <w:rsid w:val="001106B9"/>
    <w:rsid w:val="00111EB7"/>
    <w:rsid w:val="0011771C"/>
    <w:rsid w:val="0014623F"/>
    <w:rsid w:val="00146BD3"/>
    <w:rsid w:val="00186F1A"/>
    <w:rsid w:val="00192A11"/>
    <w:rsid w:val="0019546F"/>
    <w:rsid w:val="001B656B"/>
    <w:rsid w:val="001C41BE"/>
    <w:rsid w:val="001C6511"/>
    <w:rsid w:val="001D59EE"/>
    <w:rsid w:val="001F0CAD"/>
    <w:rsid w:val="001F5ACA"/>
    <w:rsid w:val="00222545"/>
    <w:rsid w:val="002250FE"/>
    <w:rsid w:val="0023442C"/>
    <w:rsid w:val="00286F85"/>
    <w:rsid w:val="00293AEC"/>
    <w:rsid w:val="002D7199"/>
    <w:rsid w:val="002F0DB0"/>
    <w:rsid w:val="003108C8"/>
    <w:rsid w:val="003214B0"/>
    <w:rsid w:val="00321F2E"/>
    <w:rsid w:val="00353811"/>
    <w:rsid w:val="0037386A"/>
    <w:rsid w:val="00380F67"/>
    <w:rsid w:val="003857B5"/>
    <w:rsid w:val="00393C27"/>
    <w:rsid w:val="003B1A22"/>
    <w:rsid w:val="003B2EF1"/>
    <w:rsid w:val="003C2F57"/>
    <w:rsid w:val="003C4DF0"/>
    <w:rsid w:val="003D389A"/>
    <w:rsid w:val="003F66A3"/>
    <w:rsid w:val="00407A55"/>
    <w:rsid w:val="004271D4"/>
    <w:rsid w:val="0044402E"/>
    <w:rsid w:val="004455C1"/>
    <w:rsid w:val="00446AC6"/>
    <w:rsid w:val="00471CDD"/>
    <w:rsid w:val="00474F27"/>
    <w:rsid w:val="00480156"/>
    <w:rsid w:val="004811C1"/>
    <w:rsid w:val="00484474"/>
    <w:rsid w:val="004A6E82"/>
    <w:rsid w:val="004D4FA9"/>
    <w:rsid w:val="004E2679"/>
    <w:rsid w:val="004E42F6"/>
    <w:rsid w:val="004F07DB"/>
    <w:rsid w:val="004F1F02"/>
    <w:rsid w:val="004F3126"/>
    <w:rsid w:val="004F71D6"/>
    <w:rsid w:val="00513407"/>
    <w:rsid w:val="00514569"/>
    <w:rsid w:val="00515051"/>
    <w:rsid w:val="005173E1"/>
    <w:rsid w:val="00526EEB"/>
    <w:rsid w:val="00537477"/>
    <w:rsid w:val="0057389D"/>
    <w:rsid w:val="00584714"/>
    <w:rsid w:val="00591055"/>
    <w:rsid w:val="005A5E02"/>
    <w:rsid w:val="005B1806"/>
    <w:rsid w:val="005B3049"/>
    <w:rsid w:val="00610C62"/>
    <w:rsid w:val="00644381"/>
    <w:rsid w:val="00680756"/>
    <w:rsid w:val="00684242"/>
    <w:rsid w:val="00685E19"/>
    <w:rsid w:val="00687E1B"/>
    <w:rsid w:val="006B43BD"/>
    <w:rsid w:val="006C3328"/>
    <w:rsid w:val="00725960"/>
    <w:rsid w:val="0076773F"/>
    <w:rsid w:val="00797D17"/>
    <w:rsid w:val="007A37E3"/>
    <w:rsid w:val="007B68C9"/>
    <w:rsid w:val="007E256E"/>
    <w:rsid w:val="007E5DB0"/>
    <w:rsid w:val="00813BC8"/>
    <w:rsid w:val="008423A9"/>
    <w:rsid w:val="008750FA"/>
    <w:rsid w:val="008854A7"/>
    <w:rsid w:val="008924E6"/>
    <w:rsid w:val="00897AD9"/>
    <w:rsid w:val="008A09F8"/>
    <w:rsid w:val="008A133E"/>
    <w:rsid w:val="008A7998"/>
    <w:rsid w:val="008D241B"/>
    <w:rsid w:val="008F45CE"/>
    <w:rsid w:val="008F4D10"/>
    <w:rsid w:val="00905D37"/>
    <w:rsid w:val="009174AF"/>
    <w:rsid w:val="00922F56"/>
    <w:rsid w:val="00966FCA"/>
    <w:rsid w:val="00971AF1"/>
    <w:rsid w:val="009946ED"/>
    <w:rsid w:val="009C1FDF"/>
    <w:rsid w:val="009C7A6E"/>
    <w:rsid w:val="009E2A9F"/>
    <w:rsid w:val="009F3086"/>
    <w:rsid w:val="00A13AC4"/>
    <w:rsid w:val="00A313BA"/>
    <w:rsid w:val="00A45E81"/>
    <w:rsid w:val="00A55F28"/>
    <w:rsid w:val="00A636B6"/>
    <w:rsid w:val="00A660EF"/>
    <w:rsid w:val="00A8305B"/>
    <w:rsid w:val="00A95DC7"/>
    <w:rsid w:val="00AE600B"/>
    <w:rsid w:val="00AF32C5"/>
    <w:rsid w:val="00B102C8"/>
    <w:rsid w:val="00B32B4F"/>
    <w:rsid w:val="00B4421A"/>
    <w:rsid w:val="00B47C89"/>
    <w:rsid w:val="00B539B6"/>
    <w:rsid w:val="00B70ED6"/>
    <w:rsid w:val="00BA008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167C"/>
    <w:rsid w:val="00C67B6E"/>
    <w:rsid w:val="00CC2C7B"/>
    <w:rsid w:val="00CE29F6"/>
    <w:rsid w:val="00CE3B2A"/>
    <w:rsid w:val="00CF4D5C"/>
    <w:rsid w:val="00D03CCD"/>
    <w:rsid w:val="00D11A23"/>
    <w:rsid w:val="00D13472"/>
    <w:rsid w:val="00D20923"/>
    <w:rsid w:val="00D3498D"/>
    <w:rsid w:val="00D4167C"/>
    <w:rsid w:val="00D52CFC"/>
    <w:rsid w:val="00D5506D"/>
    <w:rsid w:val="00D914AC"/>
    <w:rsid w:val="00DA3340"/>
    <w:rsid w:val="00DE7643"/>
    <w:rsid w:val="00DF7296"/>
    <w:rsid w:val="00E07C60"/>
    <w:rsid w:val="00E169DD"/>
    <w:rsid w:val="00E62798"/>
    <w:rsid w:val="00E70735"/>
    <w:rsid w:val="00E81258"/>
    <w:rsid w:val="00E857A3"/>
    <w:rsid w:val="00E867B8"/>
    <w:rsid w:val="00E93CC8"/>
    <w:rsid w:val="00EA6F1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56FD-0893-4F56-9DA4-5627276E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34</Pages>
  <Words>8118</Words>
  <Characters>46274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7</cp:revision>
  <cp:lastPrinted>2021-03-04T04:08:00Z</cp:lastPrinted>
  <dcterms:created xsi:type="dcterms:W3CDTF">2021-01-27T01:41:00Z</dcterms:created>
  <dcterms:modified xsi:type="dcterms:W3CDTF">2021-03-04T04:39:00Z</dcterms:modified>
</cp:coreProperties>
</file>